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E3" w:rsidRPr="00FE42A7" w:rsidRDefault="00DF15E3" w:rsidP="00FE42A7">
      <w:pPr>
        <w:pStyle w:val="Heading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proofErr w:type="spellStart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Огляд</w:t>
      </w:r>
      <w:proofErr w:type="spellEnd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сучасних</w:t>
      </w:r>
      <w:proofErr w:type="spellEnd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пристроїв</w:t>
      </w:r>
      <w:proofErr w:type="spellEnd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FE4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скремблювання</w:t>
      </w:r>
      <w:proofErr w:type="spellEnd"/>
    </w:p>
    <w:p w:rsidR="00DF15E3" w:rsidRPr="00FE42A7" w:rsidRDefault="00DF15E3" w:rsidP="00FE42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42A7">
        <w:rPr>
          <w:rFonts w:ascii="Times New Roman" w:hAnsi="Times New Roman" w:cs="Times New Roman"/>
          <w:sz w:val="28"/>
          <w:szCs w:val="28"/>
        </w:rPr>
        <w:t>На сьогодні можна виділити два напрямки шифрування мовних сигналів – це скремблювання аналогових сигналів та перетворення мовного повідомлення в дискретний вигляд з подальшим шифруванням</w:t>
      </w:r>
      <w:r w:rsidRPr="00FE42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15E3" w:rsidRPr="00FE42A7" w:rsidRDefault="00DF15E3" w:rsidP="00FE42A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en-GB"/>
        </w:rPr>
      </w:pPr>
      <w:r w:rsidRPr="00DF15E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Скремблювання — шифрування потоку даних, в результаті якої він виглядає як потік випадкових бітів</w:t>
      </w:r>
      <w:r w:rsidRPr="00FE42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en-GB"/>
        </w:rPr>
        <w:t>.</w:t>
      </w:r>
    </w:p>
    <w:p w:rsidR="00DF15E3" w:rsidRPr="00FE42A7" w:rsidRDefault="00DF15E3" w:rsidP="00FE42A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Склемблери </w:t>
      </w:r>
      <w:r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перетворюють вихідний мовний сигнал, змінюючи його амплітудні, частотні і часові параметри у різних комбінаціях. Потім скрембльований сигнал може передаватись по каналу зв'язку в тій самій смузі частот, що і вихідний, відкритий. Засоби мовного скремблювання вперше з'явились під час другої світової війни. Серед останніх досягнень в цій області слід відзначити широке використання інтегральних схем, зокрема процесорів цифрової обробки сигналів. Все це забезпечило високу надійність пристроїв закриття мови зі зменшенням їхнього розміру і вартості.</w:t>
      </w:r>
      <w:r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Склемблери </w:t>
      </w:r>
      <w:r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перетворюють вихідний мовний сигнал, змінюючи його амплітудні, частотні і часові параметри у різних комбінаціях. Потім скрембльований сигнал може передаватись по каналу зв'язку в тій самій смузі частот, що і вихідний, відкритий. </w:t>
      </w:r>
    </w:p>
    <w:p w:rsidR="00FE42A7" w:rsidRDefault="00DF15E3" w:rsidP="00FE42A7">
      <w:pPr>
        <w:spacing w:before="240"/>
        <w:ind w:left="100" w:right="80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>Оскільки скрембльовані мовні сигнали в аналоговій формі лежать в тій же смузі частот, що і вихідні відкриті, це значить, що їх можна передавати по звичайних каналах зв'язку, що використовуються для передачі мовної інформації, без потреби застосування якого-небудь спеціального обладнання, такого, як, наприклад, модеми. Тому пристрої мовного скремблювання не такі дорогі і значно простіші, ніж пристрої кодування з наступним цифровим шифруванням (вокодери).</w:t>
      </w:r>
    </w:p>
    <w:p w:rsidR="00DF15E3" w:rsidRPr="00FE42A7" w:rsidRDefault="00DF15E3" w:rsidP="00FE42A7">
      <w:pPr>
        <w:spacing w:before="240"/>
        <w:ind w:left="100" w:right="80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FE42A7">
        <w:rPr>
          <w:rFonts w:ascii="Times New Roman" w:eastAsia="Arial Unicode MS" w:hAnsi="Times New Roman" w:cs="Times New Roman"/>
          <w:iCs/>
          <w:sz w:val="28"/>
          <w:szCs w:val="28"/>
          <w:lang w:eastAsia="ru-RU"/>
        </w:rPr>
        <w:t>Телефонні скремблери</w:t>
      </w:r>
      <w:r w:rsidRPr="00FE42A7">
        <w:rPr>
          <w:rFonts w:ascii="Times New Roman" w:eastAsia="Arial Unicode MS" w:hAnsi="Times New Roman" w:cs="Times New Roman"/>
          <w:i/>
          <w:iCs/>
          <w:sz w:val="28"/>
          <w:szCs w:val="28"/>
          <w:lang w:eastAsia="ru-RU"/>
        </w:rPr>
        <w:t>,</w:t>
      </w:r>
      <w:r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за їх режимом роботи, можна розбити на два наступні класи:</w:t>
      </w:r>
    </w:p>
    <w:p w:rsidR="00DF15E3" w:rsidRPr="00FE42A7" w:rsidRDefault="004C1721" w:rsidP="00FE42A7">
      <w:pPr>
        <w:tabs>
          <w:tab w:val="left" w:pos="430"/>
        </w:tabs>
        <w:spacing w:before="240"/>
        <w:ind w:left="704" w:right="80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FE42A7">
        <w:rPr>
          <w:rFonts w:ascii="Times New Roman" w:eastAsia="Arial Unicode MS" w:hAnsi="Times New Roman" w:cs="Times New Roman"/>
          <w:sz w:val="28"/>
          <w:szCs w:val="28"/>
          <w:lang w:val="ru-RU" w:eastAsia="ru-RU"/>
        </w:rPr>
        <w:t xml:space="preserve">- </w:t>
      </w:r>
      <w:r w:rsidR="00DF15E3"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>статичні системи, схема кодування яких залишається незмінною на протязі передачі мовного повідомлення;</w:t>
      </w:r>
    </w:p>
    <w:p w:rsidR="00DF15E3" w:rsidRPr="00FE42A7" w:rsidRDefault="004C1721" w:rsidP="00FE42A7">
      <w:pPr>
        <w:tabs>
          <w:tab w:val="left" w:pos="426"/>
        </w:tabs>
        <w:spacing w:before="240"/>
        <w:ind w:left="704" w:right="80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FE42A7">
        <w:rPr>
          <w:rFonts w:ascii="Times New Roman" w:eastAsia="Arial Unicode MS" w:hAnsi="Times New Roman" w:cs="Times New Roman"/>
          <w:sz w:val="28"/>
          <w:szCs w:val="28"/>
          <w:lang w:val="ru-RU" w:eastAsia="ru-RU"/>
        </w:rPr>
        <w:t xml:space="preserve">- </w:t>
      </w:r>
      <w:r w:rsidR="00DF15E3" w:rsidRPr="00FE42A7">
        <w:rPr>
          <w:rFonts w:ascii="Times New Roman" w:eastAsia="Arial Unicode MS" w:hAnsi="Times New Roman" w:cs="Times New Roman"/>
          <w:sz w:val="28"/>
          <w:szCs w:val="28"/>
          <w:lang w:eastAsia="ru-RU"/>
        </w:rPr>
        <w:t>динамічні системи, які постійно генерують кодові підстановки в ході передачі (код може змінюватись в процесі передачі декілька разів на протязі кожної секунди).</w:t>
      </w:r>
    </w:p>
    <w:p w:rsidR="004C1721" w:rsidRPr="00FE42A7" w:rsidRDefault="004C1721" w:rsidP="00FE42A7">
      <w:pPr>
        <w:spacing w:before="240"/>
        <w:ind w:right="80" w:firstLine="284"/>
        <w:jc w:val="both"/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ru-RU"/>
        </w:rPr>
      </w:pPr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Використовуючи комбінацію часового і частотного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скремблювання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, можна значно підвищити степінь закриття мови. Комбінований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скремблер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набагато складніший, ніж звичайний і потребує компромісного рішення із вибору рівня закриття, кінцевої розбірливості, часу затримки, складності системи і рівня спотворень у відновленому сигналі.</w:t>
      </w:r>
    </w:p>
    <w:p w:rsidR="004C1721" w:rsidRPr="00FE42A7" w:rsidRDefault="004C1721" w:rsidP="00FE42A7">
      <w:pPr>
        <w:spacing w:before="240" w:after="296"/>
        <w:ind w:left="80" w:right="80" w:firstLine="284"/>
        <w:jc w:val="both"/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</w:pPr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lastRenderedPageBreak/>
        <w:t xml:space="preserve">Як приклад такої системи розглянемо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скремблер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, схема якого наведена на рисунку де операція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частотно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-часових перестановок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дискретизованих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відрізків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мовного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сигналу здійснюється з допомогою кількох процесорів цифрової обробки сигналу, один з яких може реалізовувати функцію генератора випадкової послідовності (ключа системи закриття)</w:t>
      </w:r>
    </w:p>
    <w:p w:rsidR="004C1721" w:rsidRPr="00FE42A7" w:rsidRDefault="004C1721" w:rsidP="00FE42A7">
      <w:pPr>
        <w:framePr w:wrap="notBeside" w:vAnchor="text" w:hAnchor="text" w:xAlign="center" w:y="1"/>
        <w:spacing w:before="240"/>
        <w:ind w:firstLine="284"/>
        <w:jc w:val="both"/>
        <w:rPr>
          <w:rFonts w:ascii="Times New Roman" w:eastAsia="Arial Unicode MS" w:hAnsi="Times New Roman" w:cs="Times New Roman"/>
          <w:sz w:val="28"/>
          <w:szCs w:val="28"/>
          <w:lang w:val="uk-UA" w:eastAsia="ru-RU"/>
        </w:rPr>
      </w:pPr>
      <w:r w:rsidRPr="00FE42A7">
        <w:rPr>
          <w:rFonts w:ascii="Times New Roman" w:eastAsia="Arial Unicode MS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8919AFE" wp14:editId="04F3FA3D">
            <wp:extent cx="5803900" cy="390969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21" w:rsidRPr="00FE42A7" w:rsidRDefault="004C1721" w:rsidP="00FE42A7">
      <w:pPr>
        <w:framePr w:wrap="notBeside" w:vAnchor="text" w:hAnchor="text" w:xAlign="center" w:y="1"/>
        <w:spacing w:before="240"/>
        <w:ind w:firstLine="284"/>
        <w:jc w:val="both"/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ru-RU"/>
        </w:rPr>
      </w:pPr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(ПВП - псевдовипадкова послідовність)</w:t>
      </w:r>
    </w:p>
    <w:p w:rsidR="00FE42A7" w:rsidRPr="00FE42A7" w:rsidRDefault="00FE42A7" w:rsidP="00FE42A7">
      <w:pPr>
        <w:spacing w:before="240"/>
        <w:ind w:right="80" w:firstLine="284"/>
        <w:jc w:val="both"/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</w:pPr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В такому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скремблері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спектр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оцифрованого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аналого-цифровим перетворювачем (АЦП)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мовного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сигналу внаслідок використання алгоритмів цифрової обробки сигналів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розбрівається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на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частотно</w:t>
      </w:r>
      <w:proofErr w:type="spellEnd"/>
      <w:r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-</w:t>
      </w:r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часові елементи, які потім змішуються на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частотно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-часовій площині у відповідності з одним із криптографічних алгоритмів і підсумовуються, не виходячи за межі частотного діапазону вихідного сигналу. Отриманий таким чином закритий сигнал з допомогою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цифроаналогового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перетворювача (ЦАП) переводиться в аналогову форму і подається в канал зв'язку. На приймальній стороні здійснюються зворотні операції із відновлення отриманого закритого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мовного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 xml:space="preserve"> повідомлення. Стійкість представленого алгоритму можна прирівняти до стійкості систем цифрового закриття мови (на основі </w:t>
      </w:r>
      <w:proofErr w:type="spellStart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вокодерів</w:t>
      </w:r>
      <w:proofErr w:type="spellEnd"/>
      <w:r w:rsidRPr="00FE42A7">
        <w:rPr>
          <w:rFonts w:ascii="Times New Roman" w:eastAsia="Arial Unicode MS" w:hAnsi="Times New Roman" w:cs="Times New Roman"/>
          <w:spacing w:val="10"/>
          <w:sz w:val="28"/>
          <w:szCs w:val="28"/>
          <w:lang w:val="uk-UA" w:eastAsia="uk-UA"/>
        </w:rPr>
        <w:t>).</w:t>
      </w:r>
    </w:p>
    <w:p w:rsidR="00FE42A7" w:rsidRPr="00DC097E" w:rsidRDefault="00FE42A7" w:rsidP="00FE42A7">
      <w:pPr>
        <w:spacing w:before="240" w:after="300"/>
        <w:ind w:left="80" w:right="80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lastRenderedPageBreak/>
        <w:t xml:space="preserve">Телефонний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"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Орех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-ІІ" виконаний у вигляді підставки під телефон. Пристрій побудований на основі високопродуктивного цифрового процесора оброблення сигналів, що здійснює закриття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мовної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інформації. Працює із будь яким телефонним апаратом. 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має просте управління, практично всі операції із закриття інформації здійснюються автоматично.</w:t>
      </w:r>
    </w:p>
    <w:p w:rsidR="00FE42A7" w:rsidRPr="00DC097E" w:rsidRDefault="00FE42A7" w:rsidP="00FE42A7">
      <w:pPr>
        <w:spacing w:before="240"/>
        <w:ind w:left="1020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Закриття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мовної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інформації досягається такими методами:</w:t>
      </w:r>
    </w:p>
    <w:p w:rsidR="00FE42A7" w:rsidRPr="00DC097E" w:rsidRDefault="00FE42A7" w:rsidP="00FE42A7">
      <w:pPr>
        <w:numPr>
          <w:ilvl w:val="0"/>
          <w:numId w:val="2"/>
        </w:numPr>
        <w:tabs>
          <w:tab w:val="left" w:pos="0"/>
        </w:tabs>
        <w:spacing w:before="240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Часових перестановок.</w:t>
      </w:r>
    </w:p>
    <w:p w:rsidR="00FE42A7" w:rsidRPr="00DC097E" w:rsidRDefault="00FE42A7" w:rsidP="00FE42A7">
      <w:pPr>
        <w:numPr>
          <w:ilvl w:val="0"/>
          <w:numId w:val="2"/>
        </w:numPr>
        <w:tabs>
          <w:tab w:val="left" w:pos="0"/>
        </w:tabs>
        <w:spacing w:before="240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Інверсії спектра.</w:t>
      </w:r>
    </w:p>
    <w:p w:rsidR="00FE42A7" w:rsidRPr="00DC097E" w:rsidRDefault="00FE42A7" w:rsidP="00FE42A7">
      <w:pPr>
        <w:numPr>
          <w:ilvl w:val="0"/>
          <w:numId w:val="2"/>
        </w:numPr>
        <w:tabs>
          <w:tab w:val="left" w:pos="0"/>
        </w:tabs>
        <w:spacing w:before="240"/>
        <w:ind w:right="80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Перетворення часового масштабу, що руйнує неперервність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мовного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сигналу.</w:t>
      </w:r>
    </w:p>
    <w:p w:rsidR="00FE42A7" w:rsidRPr="00DC097E" w:rsidRDefault="00FE42A7" w:rsidP="00FE42A7">
      <w:pPr>
        <w:spacing w:before="24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iCs/>
          <w:color w:val="000000"/>
          <w:sz w:val="28"/>
          <w:szCs w:val="28"/>
          <w:lang w:val="uk" w:eastAsia="ru-RU"/>
        </w:rPr>
        <w:t xml:space="preserve">Телефонний </w:t>
      </w:r>
      <w:proofErr w:type="spellStart"/>
      <w:r w:rsidRPr="00DC097E">
        <w:rPr>
          <w:rFonts w:ascii="Times New Roman" w:eastAsia="Times New Roman" w:hAnsi="Times New Roman"/>
          <w:iCs/>
          <w:color w:val="000000"/>
          <w:sz w:val="28"/>
          <w:szCs w:val="28"/>
          <w:lang w:val="uk" w:eastAsia="ru-RU"/>
        </w:rPr>
        <w:t>скремблер</w:t>
      </w:r>
      <w:proofErr w:type="spellEnd"/>
      <w:r w:rsidRPr="00DC097E">
        <w:rPr>
          <w:rFonts w:ascii="Times New Roman" w:eastAsia="Times New Roman" w:hAnsi="Times New Roman"/>
          <w:iCs/>
          <w:color w:val="000000"/>
          <w:sz w:val="28"/>
          <w:szCs w:val="28"/>
          <w:lang w:val="uk" w:eastAsia="ru-RU"/>
        </w:rPr>
        <w:t xml:space="preserve"> "</w:t>
      </w:r>
      <w:proofErr w:type="spellStart"/>
      <w:r w:rsidRPr="00DC097E">
        <w:rPr>
          <w:rFonts w:ascii="Times New Roman" w:eastAsia="Times New Roman" w:hAnsi="Times New Roman"/>
          <w:iCs/>
          <w:color w:val="000000"/>
          <w:sz w:val="28"/>
          <w:szCs w:val="28"/>
          <w:lang w:val="uk" w:eastAsia="ru-RU"/>
        </w:rPr>
        <w:t>Орех</w:t>
      </w:r>
      <w:proofErr w:type="spellEnd"/>
      <w:r w:rsidRPr="00DC097E">
        <w:rPr>
          <w:rFonts w:ascii="Times New Roman" w:eastAsia="Times New Roman" w:hAnsi="Times New Roman"/>
          <w:iCs/>
          <w:color w:val="000000"/>
          <w:sz w:val="28"/>
          <w:szCs w:val="28"/>
          <w:lang w:val="uk" w:eastAsia="ru-RU"/>
        </w:rPr>
        <w:t>-ІІ"</w:t>
      </w: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має такі основні технічні характеристики: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 xml:space="preserve">Якість розмови у </w:t>
      </w:r>
      <w:proofErr w:type="spellStart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повнодуплексному</w:t>
      </w:r>
      <w:proofErr w:type="spellEnd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 xml:space="preserve"> режимі - не гірше 90 %.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  <w:tab w:val="left" w:pos="142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 xml:space="preserve">Затримка </w:t>
      </w:r>
      <w:proofErr w:type="spellStart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мовного</w:t>
      </w:r>
      <w:proofErr w:type="spellEnd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 xml:space="preserve"> сигналу в тракті передача прийом - не більше 0,32 с.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 w:right="80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 xml:space="preserve">Пригнічення </w:t>
      </w:r>
      <w:proofErr w:type="spellStart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скрембльованого</w:t>
      </w:r>
      <w:proofErr w:type="spellEnd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 xml:space="preserve"> сигналу на передавальній стороні не менше 40 </w:t>
      </w:r>
      <w:proofErr w:type="spellStart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дБ</w:t>
      </w:r>
      <w:proofErr w:type="spellEnd"/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Час встановлення закритого зв'язку - не більше 10 с.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 w:right="80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Використовується найсучасніша ключова система кодування- декодування за методом відкритих ключів.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 w:right="80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Забезпечується гальванічне розділення від абонентської лінії та від підключеного телефонного апарату.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Електроживлення від мережі змінного струму 220 В.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Споживана потужність - не більше 1 Вт.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  <w:tab w:val="left" w:pos="142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Габарити - 200x280440 мм.</w:t>
      </w:r>
    </w:p>
    <w:p w:rsidR="00FE42A7" w:rsidRPr="00FE42A7" w:rsidRDefault="00FE42A7" w:rsidP="00FE42A7">
      <w:pPr>
        <w:numPr>
          <w:ilvl w:val="0"/>
          <w:numId w:val="3"/>
        </w:numPr>
        <w:tabs>
          <w:tab w:val="left" w:pos="0"/>
        </w:tabs>
        <w:spacing w:before="240"/>
        <w:ind w:left="709"/>
        <w:jc w:val="both"/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</w:pPr>
      <w:r w:rsidRPr="00FE42A7">
        <w:rPr>
          <w:rFonts w:ascii="Times New Roman" w:eastAsia="Times New Roman" w:hAnsi="Times New Roman"/>
          <w:color w:val="000000"/>
          <w:sz w:val="20"/>
          <w:szCs w:val="20"/>
          <w:lang w:val="uk" w:eastAsia="ru-RU"/>
        </w:rPr>
        <w:t>Маса- не більше 1,5 кг.</w:t>
      </w:r>
    </w:p>
    <w:p w:rsidR="00FE42A7" w:rsidRPr="00DC097E" w:rsidRDefault="00FE42A7" w:rsidP="00FE42A7">
      <w:pPr>
        <w:spacing w:before="240"/>
        <w:ind w:right="80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На стенді телефонний апарат вилкою підключається в стандартну телефонну розетку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скремблера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, а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- в розетку абонентської телефонної лінії. Крім того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підключається до телефонної лінії. В режим захисту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переводиться після того як встановлене з'єднання між двома абонентами,</w:t>
      </w:r>
      <w:r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що мають однотипні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скремблери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. </w:t>
      </w:r>
      <w:r w:rsidRPr="00DC097E">
        <w:rPr>
          <w:rFonts w:ascii="Times New Roman" w:eastAsia="Times New Roman" w:hAnsi="Times New Roman"/>
          <w:iCs/>
          <w:color w:val="000000"/>
          <w:sz w:val="28"/>
          <w:szCs w:val="28"/>
          <w:lang w:val="uk" w:eastAsia="ru-RU"/>
        </w:rPr>
        <w:t>Для встановлення режиму захисту</w:t>
      </w: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необхідно попередити про це абонента, із яким установлене з'єднання, і потім натиснути кнопку на передній панелі телефонної приставки.</w:t>
      </w:r>
    </w:p>
    <w:p w:rsidR="00FE42A7" w:rsidRPr="00DC097E" w:rsidRDefault="00FE42A7" w:rsidP="00FE42A7">
      <w:pPr>
        <w:spacing w:before="240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lastRenderedPageBreak/>
        <w:t xml:space="preserve">Можливі два режими захисту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мовної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інформації:</w:t>
      </w:r>
    </w:p>
    <w:p w:rsidR="00FE42A7" w:rsidRPr="00DC097E" w:rsidRDefault="00FE42A7" w:rsidP="00FE42A7">
      <w:pPr>
        <w:numPr>
          <w:ilvl w:val="0"/>
          <w:numId w:val="4"/>
        </w:numPr>
        <w:tabs>
          <w:tab w:val="left" w:pos="709"/>
        </w:tabs>
        <w:spacing w:before="240"/>
        <w:ind w:firstLine="284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з автоматично сформованим ключем;</w:t>
      </w:r>
    </w:p>
    <w:p w:rsidR="00FE42A7" w:rsidRPr="00DC097E" w:rsidRDefault="00FE42A7" w:rsidP="00FE42A7">
      <w:pPr>
        <w:numPr>
          <w:ilvl w:val="0"/>
          <w:numId w:val="4"/>
        </w:numPr>
        <w:tabs>
          <w:tab w:val="left" w:pos="709"/>
          <w:tab w:val="left" w:pos="898"/>
        </w:tabs>
        <w:spacing w:before="24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з додатково введеним паролем.</w:t>
      </w:r>
    </w:p>
    <w:p w:rsidR="00FE42A7" w:rsidRPr="00870F8E" w:rsidRDefault="00FE42A7" w:rsidP="00FE42A7">
      <w:pPr>
        <w:spacing w:before="240"/>
        <w:ind w:left="80" w:right="80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</w:pP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У режимі з автоматичним сформованим ключем необхідно натиснути на кнопку на пере</w:t>
      </w:r>
      <w:r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дній панелі приставки повторно.  </w:t>
      </w: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При встановленні захисту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мовний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інформатор видає в трубку повідомлення "Захист установлений" і індикатор "Зв'язок" постійно світить.</w:t>
      </w:r>
      <w:r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</w:t>
      </w:r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Мінімальна структура з закриттям </w:t>
      </w:r>
      <w:proofErr w:type="spellStart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>мовної</w:t>
      </w:r>
      <w:proofErr w:type="spellEnd"/>
      <w:r w:rsidRPr="00DC097E"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інформації на основі даного засобу захисту повинна складатися з двох приставок,</w:t>
      </w:r>
      <w:r>
        <w:rPr>
          <w:rFonts w:ascii="Times New Roman" w:eastAsia="Times New Roman" w:hAnsi="Times New Roman"/>
          <w:color w:val="000000"/>
          <w:sz w:val="28"/>
          <w:szCs w:val="28"/>
          <w:lang w:val="uk" w:eastAsia="ru-RU"/>
        </w:rPr>
        <w:t xml:space="preserve"> включених відповідно до рисунку</w:t>
      </w:r>
    </w:p>
    <w:p w:rsidR="00DF15E3" w:rsidRDefault="00FE42A7" w:rsidP="00FE42A7">
      <w:pPr>
        <w:spacing w:before="240" w:after="469"/>
        <w:ind w:right="340" w:firstLine="284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C097E">
        <w:rPr>
          <w:rFonts w:ascii="Times New Roman" w:eastAsia="Times New Roman" w:hAnsi="Times New Roman"/>
          <w:noProof/>
          <w:color w:val="000000"/>
          <w:sz w:val="28"/>
          <w:szCs w:val="28"/>
          <w:lang w:val="uk" w:eastAsia="ru-RU"/>
        </w:rPr>
        <w:drawing>
          <wp:inline distT="0" distB="0" distL="0" distR="0" wp14:anchorId="60629A5B" wp14:editId="41C87065">
            <wp:extent cx="4700905" cy="168021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168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42A7" w:rsidRDefault="00FE42A7" w:rsidP="00FE42A7">
      <w:pPr>
        <w:spacing w:before="240" w:after="469"/>
        <w:ind w:right="340" w:firstLine="284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Відомі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скремблери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ефективного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захисту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телефонних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переговорів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в мережах,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працюють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по 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GSM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стандарту.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Спеціально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розроблений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скремблер </w:t>
      </w:r>
      <w:r w:rsidRPr="00FE42A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GUARD</w:t>
      </w:r>
      <w:r w:rsidRPr="00FE42A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FE42A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GSM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будучи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економ-варіантом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відмінно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маскує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мову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передану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по каналах 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GSM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зв'язку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Цей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пристрій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з'єднується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зі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стільниковим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телефоном по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провідній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гарнітурі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має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невеликі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розміри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Скремблер 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GUARD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GSM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має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тридцять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два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режими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скремблювання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основні</w:t>
      </w:r>
      <w:proofErr w:type="spellEnd"/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характеристики наведен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і нижче:</w:t>
      </w:r>
    </w:p>
    <w:p w:rsidR="00FE42A7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розбірливість мови.  – не менше ніж 95%</w:t>
      </w:r>
    </w:p>
    <w:p w:rsidR="00FE42A7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тип з’єднання – повний дуплекс</w:t>
      </w:r>
    </w:p>
    <w:p w:rsidR="00FE42A7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затримка сигналу в лінії – не більше 100мс</w:t>
      </w:r>
    </w:p>
    <w:p w:rsidR="00FE42A7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рівень захищеності лінійного сигналу – тимчасовий</w:t>
      </w:r>
    </w:p>
    <w:p w:rsidR="00FE42A7" w:rsidRPr="00FE42A7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використання в мережах стандарту  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GSM</w:t>
      </w:r>
      <w:r w:rsidRPr="00FE42A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900/1800</w:t>
      </w:r>
    </w:p>
    <w:p w:rsidR="00FE42A7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тип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підключення до мобільного телефону – провідна гарнітура</w:t>
      </w:r>
    </w:p>
    <w:p w:rsidR="005C72DE" w:rsidRDefault="00FE42A7" w:rsidP="00FE42A7">
      <w:pPr>
        <w:pStyle w:val="ListParagraph"/>
        <w:numPr>
          <w:ilvl w:val="0"/>
          <w:numId w:val="5"/>
        </w:num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габаритні розміри – 80</w:t>
      </w:r>
    </w:p>
    <w:p w:rsidR="005C72DE" w:rsidRPr="005C72DE" w:rsidRDefault="005C72DE" w:rsidP="005C72DE">
      <w:pPr>
        <w:spacing w:before="240" w:after="469"/>
        <w:ind w:left="284" w:right="34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5C72D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Початок розмови, як правило, починається в відкритому режимі і далі за обопільною команді пристрою перемикаються в режим </w:t>
      </w:r>
      <w:proofErr w:type="spellStart"/>
      <w:r w:rsidRPr="005C72D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скремблювання</w:t>
      </w:r>
      <w:proofErr w:type="spellEnd"/>
      <w:r w:rsidRPr="005C72D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5C72DE" w:rsidRPr="005C72DE" w:rsidRDefault="005C72DE" w:rsidP="005C7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Скремблер GUARD Bluetooth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5"/>
        <w:gridCol w:w="7695"/>
      </w:tblGrid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 xml:space="preserve">Принцип кодування  - </w:t>
            </w:r>
            <w:r>
              <w:rPr>
                <w:lang w:val="uk-UA"/>
              </w:rPr>
              <w:t xml:space="preserve"> інверсія звукового спектру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инверсия звукового спектра;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en-US"/>
              </w:rPr>
            </w:pPr>
            <w:r w:rsidRPr="005C72DE">
              <w:t xml:space="preserve">Безпровідне з’єднання </w:t>
            </w:r>
            <w:r>
              <w:rPr>
                <w:lang w:val="uk-UA"/>
              </w:rPr>
              <w:t xml:space="preserve"> - </w:t>
            </w:r>
            <w:proofErr w:type="spellStart"/>
            <w:r>
              <w:rPr>
                <w:lang w:val="en-US"/>
              </w:rPr>
              <w:t>bluetooth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Bluetooth;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ru-RU"/>
              </w:rPr>
            </w:pPr>
            <w:r w:rsidRPr="005C72DE">
              <w:t>Формування ключа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ru-RU"/>
              </w:rPr>
              <w:t>статичне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статическое;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ru-RU"/>
              </w:rPr>
            </w:pPr>
            <w:r w:rsidRPr="005C72DE">
              <w:t>Загальна  кількість комбінацій алгоритму</w:t>
            </w:r>
            <w:r>
              <w:rPr>
                <w:lang w:val="ru-RU"/>
              </w:rPr>
              <w:t xml:space="preserve"> - 4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4 комбинации;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ru-RU"/>
              </w:rPr>
            </w:pPr>
            <w:r w:rsidRPr="005C72DE">
              <w:t>Кількість змін частоти інверсії</w:t>
            </w:r>
            <w:r>
              <w:rPr>
                <w:lang w:val="ru-RU"/>
              </w:rPr>
              <w:t xml:space="preserve"> – 4 </w:t>
            </w:r>
            <w:proofErr w:type="spellStart"/>
            <w:r>
              <w:rPr>
                <w:lang w:val="ru-RU"/>
              </w:rPr>
              <w:t>частоти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4 частоты;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>Довжина ключової послідовності</w:t>
            </w:r>
            <w:r>
              <w:rPr>
                <w:lang w:val="ru-RU"/>
              </w:rPr>
              <w:t xml:space="preserve"> – 16 б</w:t>
            </w:r>
            <w:r>
              <w:rPr>
                <w:lang w:val="uk-UA"/>
              </w:rPr>
              <w:t>іт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16 бит;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>Канал зв’язку</w:t>
            </w:r>
            <w:r>
              <w:rPr>
                <w:lang w:val="uk-UA"/>
              </w:rPr>
              <w:t xml:space="preserve"> – повний дуплекс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полный дуплекс;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>Розбірливість дескремблированної мови</w:t>
            </w:r>
            <w:r>
              <w:rPr>
                <w:lang w:val="uk-UA"/>
              </w:rPr>
              <w:t xml:space="preserve"> – 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95%;</w:t>
            </w:r>
          </w:p>
        </w:tc>
      </w:tr>
      <w:tr w:rsidR="005C72DE" w:rsidRPr="005C72DE" w:rsidTr="005C72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>Смуга звукової інверсії</w:t>
            </w:r>
            <w:r>
              <w:rPr>
                <w:lang w:val="uk-UA"/>
              </w:rPr>
              <w:t xml:space="preserve"> - 280 </w:t>
            </w:r>
            <w:proofErr w:type="spellStart"/>
            <w:r>
              <w:rPr>
                <w:lang w:val="uk-UA"/>
              </w:rPr>
              <w:t>Гц</w:t>
            </w:r>
            <w:proofErr w:type="spellEnd"/>
            <w:r>
              <w:rPr>
                <w:lang w:val="uk-UA"/>
              </w:rPr>
              <w:t xml:space="preserve">- 3140 </w:t>
            </w:r>
            <w:proofErr w:type="spellStart"/>
            <w:r>
              <w:rPr>
                <w:lang w:val="uk-UA"/>
              </w:rPr>
              <w:t>Гц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с 280 Hz до 3140Hz;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>Д</w:t>
            </w:r>
            <w:r>
              <w:rPr>
                <w:lang w:val="uk-UA"/>
              </w:rPr>
              <w:t>і</w:t>
            </w:r>
            <w:r w:rsidRPr="005C72DE">
              <w:t xml:space="preserve">апазон частот </w:t>
            </w:r>
            <w:r>
              <w:rPr>
                <w:lang w:val="uk-UA"/>
              </w:rPr>
              <w:t xml:space="preserve">інверсії - з 44.336 </w:t>
            </w:r>
            <w:proofErr w:type="spellStart"/>
            <w:r>
              <w:rPr>
                <w:lang w:val="uk-UA"/>
              </w:rPr>
              <w:t>кГц</w:t>
            </w:r>
            <w:proofErr w:type="spellEnd"/>
            <w:r>
              <w:rPr>
                <w:lang w:val="uk-UA"/>
              </w:rPr>
              <w:t xml:space="preserve"> до 184.734 </w:t>
            </w:r>
            <w:proofErr w:type="spellStart"/>
            <w:r>
              <w:rPr>
                <w:lang w:val="uk-UA"/>
              </w:rPr>
              <w:t>кГц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6dB на октаву;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>
              <w:rPr>
                <w:lang w:val="uk-UA"/>
              </w:rPr>
              <w:t>Вихідний</w:t>
            </w:r>
            <w:r w:rsidRPr="005C72DE">
              <w:t xml:space="preserve"> </w:t>
            </w:r>
            <w:r>
              <w:rPr>
                <w:lang w:val="uk-UA"/>
              </w:rPr>
              <w:t>імпеданс  - з 300 до 500 кОм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с 44.336kHz до 184.734kHz;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>
              <w:rPr>
                <w:lang w:val="uk-UA"/>
              </w:rPr>
              <w:t>Живлення -  9В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с 300 по 500 кОм;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>
              <w:rPr>
                <w:lang w:val="uk-UA"/>
              </w:rPr>
              <w:t>Струм</w:t>
            </w:r>
            <w:r w:rsidRPr="005C72DE">
              <w:t xml:space="preserve"> мА</w:t>
            </w:r>
            <w:r>
              <w:rPr>
                <w:lang w:val="uk-UA"/>
              </w:rPr>
              <w:t xml:space="preserve"> –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9В (крона);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>
              <w:rPr>
                <w:lang w:val="uk-UA"/>
              </w:rPr>
              <w:t>Індикація - світлодіодна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70 мА;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 w:rsidRPr="005C72DE">
              <w:t>Материал корпус</w:t>
            </w:r>
            <w:r>
              <w:rPr>
                <w:lang w:val="uk-UA"/>
              </w:rPr>
              <w:t xml:space="preserve">у – </w:t>
            </w:r>
            <w:proofErr w:type="spellStart"/>
            <w:r>
              <w:rPr>
                <w:lang w:val="uk-UA"/>
              </w:rPr>
              <w:t>пластик+алюміній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светодиодная;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rPr>
                <w:lang w:val="uk-UA"/>
              </w:rPr>
            </w:pPr>
            <w:r>
              <w:rPr>
                <w:lang w:val="uk-UA"/>
              </w:rPr>
              <w:t>Габарити – 100гр.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пластик, алюминий;</w:t>
            </w:r>
          </w:p>
        </w:tc>
      </w:tr>
      <w:tr w:rsidR="005C72DE" w:rsidRPr="005C72DE" w:rsidTr="00D333F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r w:rsidRPr="005C72DE">
              <w:t>Вес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134x70x24 мм;</w:t>
            </w:r>
          </w:p>
        </w:tc>
      </w:tr>
      <w:tr w:rsidR="005C72DE" w:rsidRPr="005C72DE" w:rsidTr="00905B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DE" w:rsidRPr="005C72DE" w:rsidRDefault="005C72DE" w:rsidP="005C72D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C72D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100 грамм.</w:t>
            </w:r>
          </w:p>
        </w:tc>
      </w:tr>
    </w:tbl>
    <w:p w:rsidR="00FE42A7" w:rsidRPr="00FE42A7" w:rsidRDefault="00FE42A7" w:rsidP="00FE42A7">
      <w:pPr>
        <w:spacing w:before="240" w:after="469"/>
        <w:ind w:right="34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DF15E3" w:rsidRPr="00FE42A7" w:rsidRDefault="00DF15E3" w:rsidP="00FE42A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F15E3" w:rsidRPr="00FE42A7" w:rsidSect="00EC30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7D4"/>
    <w:multiLevelType w:val="hybridMultilevel"/>
    <w:tmpl w:val="2012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754D"/>
    <w:multiLevelType w:val="hybridMultilevel"/>
    <w:tmpl w:val="AED49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40651"/>
    <w:multiLevelType w:val="hybridMultilevel"/>
    <w:tmpl w:val="0D1AE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4B7C"/>
    <w:multiLevelType w:val="multilevel"/>
    <w:tmpl w:val="410A88DA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65135B92"/>
    <w:multiLevelType w:val="hybridMultilevel"/>
    <w:tmpl w:val="EB525152"/>
    <w:lvl w:ilvl="0" w:tplc="3EDCE0F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E3"/>
    <w:rsid w:val="004C1721"/>
    <w:rsid w:val="005C72DE"/>
    <w:rsid w:val="00DF15E3"/>
    <w:rsid w:val="00EC3004"/>
    <w:rsid w:val="00F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25CA9"/>
  <w15:chartTrackingRefBased/>
  <w15:docId w15:val="{F9233B0C-9093-994D-8023-4D483BB1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5E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5E3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styleId="Hyperlink">
    <w:name w:val="Hyperlink"/>
    <w:basedOn w:val="DefaultParagraphFont"/>
    <w:uiPriority w:val="99"/>
    <w:semiHidden/>
    <w:unhideWhenUsed/>
    <w:rsid w:val="00DF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72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solovey</dc:creator>
  <cp:keywords/>
  <dc:description/>
  <cp:lastModifiedBy>bohdan solovey</cp:lastModifiedBy>
  <cp:revision>2</cp:revision>
  <dcterms:created xsi:type="dcterms:W3CDTF">2020-03-24T16:26:00Z</dcterms:created>
  <dcterms:modified xsi:type="dcterms:W3CDTF">2020-03-24T17:14:00Z</dcterms:modified>
</cp:coreProperties>
</file>