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52" w:rsidRPr="00026B52" w:rsidRDefault="006274E5" w:rsidP="006274E5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средства обнаружения и обезвреживания диктофонов</w:t>
      </w:r>
      <w:bookmarkStart w:id="0" w:name="_GoBack"/>
      <w:bookmarkEnd w:id="0"/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аудіоінформації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розповсюджується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радіоканалу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визначитись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у тому,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інформаційній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атаці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використанні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радіозакладні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пристрої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До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відносяться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: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несуча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частота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радіоканалу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потужність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радіопередавача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- вид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модуляції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- ширина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займаної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смуги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частот;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стабільність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;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>- режим (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замкненість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>.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Диктофони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акустичні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радіозакладні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пристрої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своєму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складі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напівпровідникових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Таким чином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ефективним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засобом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нелінійний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локатор.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 Тим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професіонали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частіше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метод “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опромінювання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котрий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оснований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ефекті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додаткової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модуляції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інформаційним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сигналом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радіохвиль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розповсюджуються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даний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момент 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зоні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технічного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засобу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котрий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оброблює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даний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момент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канал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витоку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селектувати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важко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бо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фактично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схожа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методики ВЧ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нав’язування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спеціального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джерела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ВЧ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випромінювання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У таких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випадках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нелінійного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локатора є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єдиним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способом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закладних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розділу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каналу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витоку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такий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використовує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тактику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закладних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t xml:space="preserve">Зараз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широке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отримали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нелінійні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локатори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“Родник-2”, “NR-900M”, “NR900E”, “Обь”, “Шлюз”, “BROOM”, “SUPERBROOM”, “SUPERSCOUT”, “Переход”, “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Энвис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”, “Сандал-СМ”, “Изумруд-ДМ”, “РК-885-S” та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Головні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характеристики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декотрих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з них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приведені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B52">
        <w:rPr>
          <w:rFonts w:ascii="Times New Roman" w:hAnsi="Times New Roman" w:cs="Times New Roman"/>
          <w:sz w:val="24"/>
          <w:szCs w:val="24"/>
        </w:rPr>
        <w:t>нижче</w:t>
      </w:r>
      <w:proofErr w:type="spellEnd"/>
      <w:r w:rsidRPr="00026B52">
        <w:rPr>
          <w:rFonts w:ascii="Times New Roman" w:hAnsi="Times New Roman" w:cs="Times New Roman"/>
          <w:sz w:val="24"/>
          <w:szCs w:val="24"/>
        </w:rPr>
        <w:t xml:space="preserve"> [5]:</w:t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5CAC5E" wp14:editId="29FF482C">
            <wp:extent cx="5631668" cy="20956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</w:rPr>
      </w:pPr>
    </w:p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6B52">
        <w:rPr>
          <w:rFonts w:ascii="Times New Roman" w:hAnsi="Times New Roman" w:cs="Times New Roman"/>
          <w:sz w:val="24"/>
          <w:szCs w:val="24"/>
          <w:lang w:val="uk-UA"/>
        </w:rPr>
        <w:t>Расмотрим</w:t>
      </w:r>
      <w:proofErr w:type="spellEnd"/>
      <w:r w:rsidRPr="00026B52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026B52">
        <w:rPr>
          <w:rFonts w:ascii="Times New Roman" w:hAnsi="Times New Roman" w:cs="Times New Roman"/>
          <w:sz w:val="24"/>
          <w:szCs w:val="24"/>
          <w:lang w:val="uk-UA"/>
        </w:rPr>
        <w:t>примере</w:t>
      </w:r>
      <w:proofErr w:type="spellEnd"/>
      <w:r w:rsidRPr="00026B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26B52">
        <w:rPr>
          <w:rFonts w:ascii="Times New Roman" w:hAnsi="Times New Roman" w:cs="Times New Roman"/>
          <w:sz w:val="24"/>
          <w:szCs w:val="24"/>
          <w:lang w:val="en-US"/>
        </w:rPr>
        <w:t>NR-900.</w:t>
      </w:r>
    </w:p>
    <w:p w:rsidR="00026B52" w:rsidRPr="00026B52" w:rsidRDefault="00026B52" w:rsidP="00026B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6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Портативный импульсный нелинейный радиолокатор NR-900 предназначен для поиска и локализации устройств, содержащих полупроводниковые элементы (радиомикрофоны, проводные микрофоны, средства звукозаписи, и т.п.) как во включенном, так и выключенном состоянии. Изделие состоит из антенной системы и блока приемопередатчика. Приемник настроен на удвоенную частоту сигнала передатчика. При нахождении в зоне главного лепестка диаграммы направленности антенной системы локатора устройства, содержащего полупроводниковые элементы, приемником регистрируется </w:t>
      </w:r>
      <w:proofErr w:type="spellStart"/>
      <w:r w:rsidRPr="00026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переизлученный</w:t>
      </w:r>
      <w:proofErr w:type="spellEnd"/>
      <w:r w:rsidRPr="00026B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сигнал на удвоенной частоте сигнала передатчика. Возможность ступенчатой регулировки усиления приемника позволяет уменьшить зону поиска.</w:t>
      </w:r>
    </w:p>
    <w:p w:rsidR="00026B52" w:rsidRPr="00026B52" w:rsidRDefault="00026B52" w:rsidP="00026B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26B52" w:rsidRPr="00026B52" w:rsidRDefault="00026B52" w:rsidP="00026B52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26B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характеристики: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738"/>
      </w:tblGrid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 излучаемого сигнала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 МГц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Мощность излучаемого сигнала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150 Вт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 модуляции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 Гц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импульса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2 </w:t>
            </w:r>
            <w:proofErr w:type="spellStart"/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Чувствительность приемного блока (при соотношении S/N=10 дБ)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хуже -120дБ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Динамический диапазон приемника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25 дБ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Регулировка усиления приемника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ступенчатая (шаг 10± 2 дБ)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Ширина диаграммы направленности главного</w:t>
            </w: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лепестка передающей и приемной антенны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более 40</w:t>
            </w: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о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Подавление задних лепестков диаграммы направленности</w:t>
            </w: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для передающей и приемной антенн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20 дБ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Питание локатора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сеть 220 В, 50 Гц</w:t>
            </w:r>
          </w:p>
        </w:tc>
      </w:tr>
      <w:tr w:rsidR="00026B52" w:rsidRPr="00026B52" w:rsidTr="00026B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EBEBEB"/>
            <w:vAlign w:val="center"/>
            <w:hideMark/>
          </w:tcPr>
          <w:p w:rsidR="00026B52" w:rsidRPr="00026B52" w:rsidRDefault="00026B52" w:rsidP="00026B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26B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кг</w:t>
            </w:r>
          </w:p>
        </w:tc>
      </w:tr>
    </w:tbl>
    <w:p w:rsidR="00026B52" w:rsidRPr="00026B52" w:rsidRDefault="00026B52" w:rsidP="00026B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B52" w:rsidRPr="00026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2C1"/>
    <w:multiLevelType w:val="multilevel"/>
    <w:tmpl w:val="61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F460B"/>
    <w:multiLevelType w:val="multilevel"/>
    <w:tmpl w:val="D13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20777"/>
    <w:multiLevelType w:val="multilevel"/>
    <w:tmpl w:val="293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1083D"/>
    <w:multiLevelType w:val="multilevel"/>
    <w:tmpl w:val="6C0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FB"/>
    <w:rsid w:val="00026B52"/>
    <w:rsid w:val="00113764"/>
    <w:rsid w:val="003810C1"/>
    <w:rsid w:val="006274E5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E6C2"/>
  <w15:chartTrackingRefBased/>
  <w15:docId w15:val="{FD29ED7B-2729-46D3-A90E-CCC25868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4E5"/>
  </w:style>
  <w:style w:type="paragraph" w:styleId="3">
    <w:name w:val="heading 3"/>
    <w:basedOn w:val="a"/>
    <w:link w:val="30"/>
    <w:uiPriority w:val="9"/>
    <w:qFormat/>
    <w:rsid w:val="00026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74E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6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bazinga</dc:creator>
  <cp:keywords/>
  <dc:description/>
  <cp:lastModifiedBy>Пользователь Windows</cp:lastModifiedBy>
  <cp:revision>2</cp:revision>
  <dcterms:created xsi:type="dcterms:W3CDTF">2020-03-18T21:15:00Z</dcterms:created>
  <dcterms:modified xsi:type="dcterms:W3CDTF">2020-03-18T21:15:00Z</dcterms:modified>
</cp:coreProperties>
</file>