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rPr/>
      </w:pPr>
      <w:r>
        <w:rPr/>
        <w:t>1</w:t>
      </w:r>
      <w:r>
        <w:rPr>
          <w:lang w:val="uk-UA"/>
        </w:rPr>
        <w:t>.</w:t>
      </w:r>
      <w:r>
        <w:rPr>
          <w:szCs w:val="28"/>
          <w:lang w:val="uk-UA"/>
        </w:rPr>
        <w:t xml:space="preserve"> Поєднання технічних та організаційних заходів для захисту ОІД;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ab/>
        <w:t>Інформація з обмеженим доступом захищається за допомогою деяких організаційних заходів таких як розділ такої інформації за правовим режимом на конфіденційну та таємну(Держтаємниця або прередбачена іншим законом таємниця)та категоріювання норм .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ab/>
        <w:t>1 категорія – встановлюється для об’єктів інформаційної діяльності (ОІД) де циркулює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>інформація що складає відомості з грифом (ОВ);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ab/>
        <w:t>2 категорія – встановлюється для об’єктів інформаційної діяльності (ОІД) де циркулює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>інформація що складає відомості з грифом (ЦТ);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ab/>
        <w:t>3 категорія – встановлюється для об’єктів інформаційної діяльності (ОІД) де циркулює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>інформація що складає «таємні» відомості.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ab/>
      </w:r>
      <w:r>
        <w:rPr>
          <w:szCs w:val="28"/>
          <w:lang w:val="uk-UA"/>
        </w:rPr>
        <w:t>Також використовуються технічні засоби для захисту ОІД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ab/>
        <w:t>Основними об’єктами захисту інформації є інформаційні ресурси, котрі несуть у собі відомості, що можуть відноситись до державної таємниці та конфіденційної інформації ,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>системи та засоби інформатизації , програмні засоби , автоматизовані системи керування,  системи зв’язку та передачі даних. Їх також наз-ть технічними засобами прийому інформації (ТЗПІ) та технічні засоби і системи, котрі не відносять до засобів та систем автоматизації (ТЗПІ) але розташовані в приміщеннях де оброблюється таємна і конфіденційна інформація.</w:t>
      </w:r>
    </w:p>
    <w:p>
      <w:pPr>
        <w:pStyle w:val="Normal"/>
        <w:spacing w:lineRule="auto" w:line="240" w:before="0" w:after="0"/>
        <w:ind w:hanging="0"/>
        <w:rPr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2.</w:t>
      </w:r>
      <w:r>
        <w:rPr>
          <w:szCs w:val="28"/>
          <w:lang w:val="uk-UA"/>
        </w:rPr>
        <w:t xml:space="preserve"> Захист каналів зв’язку;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3.</w:t>
      </w:r>
      <w:r>
        <w:rPr>
          <w:szCs w:val="28"/>
          <w:lang w:val="uk-UA"/>
        </w:rPr>
        <w:t xml:space="preserve"> Активні засоби. Постановка завад. Види завадових сигналів. Приклади приладів та їх характеристики;</w:t>
      </w:r>
    </w:p>
    <w:p>
      <w:pPr>
        <w:pStyle w:val="Normal"/>
        <w:spacing w:lineRule="auto" w:line="240" w:before="0" w:after="0"/>
        <w:ind w:hanging="0"/>
        <w:rPr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4.</w:t>
      </w:r>
      <w:r>
        <w:rPr>
          <w:szCs w:val="28"/>
          <w:lang w:val="uk-UA"/>
        </w:rPr>
        <w:t xml:space="preserve"> Віброакустичне маскування — </w:t>
      </w:r>
      <w:r>
        <w:rPr>
          <w:szCs w:val="28"/>
          <w:lang w:val="uk-UA"/>
        </w:rPr>
        <w:t>активний метод захисту, який використовується для зниження відношення с</w:t>
      </w:r>
      <w:r>
        <w:rPr>
          <w:szCs w:val="28"/>
          <w:lang w:val="uk-UA"/>
        </w:rPr>
        <w:t>игнал</w:t>
      </w:r>
      <w:r>
        <w:rPr>
          <w:szCs w:val="28"/>
          <w:lang w:val="uk-UA"/>
        </w:rPr>
        <w:t>\з</w:t>
      </w:r>
      <w:r>
        <w:rPr>
          <w:szCs w:val="28"/>
          <w:lang w:val="uk-UA"/>
        </w:rPr>
        <w:t>авада</w:t>
      </w:r>
      <w:r>
        <w:rPr>
          <w:szCs w:val="28"/>
          <w:lang w:val="uk-UA"/>
        </w:rPr>
        <w:t>. Найбільш ефективний для захисту від витоку по прямому акустичному каналу.</w:t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ab/>
        <w:t xml:space="preserve">Для формування акустичних завад використовують спец генератори з кінцевим пристроєм — гучномовцем або вібраційним випромінювачем. Найчастіше використовують генератор шуму. </w:t>
      </w:r>
      <w:r>
        <w:rPr>
          <w:szCs w:val="28"/>
          <w:lang w:val="uk-UA"/>
        </w:rPr>
        <w:t>В якості ел-та формування шумових сигналів вик-ють вакуумні, газорозрядні, напівпроводникові та інші ел-ти , а також цифрові пристрої.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240</Words>
  <Characters>1664</Characters>
  <CharactersWithSpaces>1902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2020-03-26T16:10:26Z</dcterms:created>
  <dc:creator/>
  <dc:description/>
  <dc:language>en-US</dc:language>
  <cp:lastModifiedBy/>
  <dcterms:modified xsi:type="dcterms:W3CDTF">2020-03-26T16:44:57Z</dcterms:modified>
  <cp:revision>1</cp:revision>
  <dc:subject/>
  <dc:title/>
</cp:coreProperties>
</file>