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Texto para encaminhar à cliente</w:t>
      </w:r>
    </w:p>
    <w:p>
      <w:r>
        <w:t>Optou-se pelo recrutamento de 66 participantes, com meta de 33 por grupo e previsão de 20% de perdas. Esse planejamento oferece poder próximo de 80% para detectar uma diferença de 6 eventos/h entre os grupos, desde que a variabilidade do IAH e sua correlação entre as avaliações sejam próximas das hipóteses adotadas. Essas hipóteses têm apoio limitado e parcialmente indireto na literatura; portanto, o número calculado não garante que o estudo detectará um benefício existente. Perdas maiores, correlação menor, variabilidade maior ou um efeito real inferior a 6 eventos/h podem reduzir o poder e ampliar a incerteza dos resultados. Como exemplo, nas simulações realizadas, mantendo os demais parâmetros, elevar as perdas de 20% para 30% reduziu o poder de aproximadamente 80% para 74%. Assim, é importante priorizar a retenção e registrar as razões das perdas. Um resultado não significativo deverá ser interpretado com seu intervalo de confiança, sem concluir automaticamente pela ausência de benefício.</w:t>
      </w:r>
    </w:p>
    <w:p>
      <w:r>
        <w:t>Nota técnica para a consultoria: as simulações consideram perdas independentes do prognóstico e do desfecho; perdas relacionadas à resposta podem causar também viés. O cálculo é para o IAH na semana 4, não garante poder para os desfechos ômicos ou para a semana 16. A meta foi fixada previamente; eventuais revisões devem ser formalizadas, sem decisões baseadas em p-valores parciais.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