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w:body>
    <w:p>
      <w:pPr>
        <w:spacing w:before="0" w:after="0" w:line="360" w:lineRule="auto"/>
        <w:contextualSpacing/>
        <w:ind w:firstLine="0" w:left="0"/>
        <w:jc w:val="center"/>
        <w:rPr>
          <w:rFonts w:ascii="Times New Roman" w:hAnsi="Times New Roman" w:eastAsia="Times New Roman"/>
          <w:sz w:val="24"/>
          <w:szCs w:val="24"/>
        </w:rPr>
      </w:pPr>
      <w:r>
        <w:rPr>
          <w:rFonts w:ascii="Times New Roman" w:hAnsi="Times New Roman" w:cs="Times New Roman" w:eastAsia="Times New Roman"/>
          <w:sz w:val="24"/>
          <w:szCs w:val="24"/>
        </w:rPr>
        <w:t xml:space="preserve">МИНИСТЕРСТВО НАУКИ И ВЫСШЕГО ОБРАЗОВАНИЯ РОССИЙСКОЙ ФЕДЕРАЦИИ</w:t>
      </w:r>
    </w:p>
    <w:p>
      <w:pPr>
        <w:spacing w:before="0" w:after="0" w:line="360" w:lineRule="auto"/>
        <w:contextualSpacing/>
        <w:ind w:firstLine="0" w:left="0"/>
        <w:jc w:val="center"/>
        <w:rPr>
          <w:rFonts w:ascii="Times New Roman" w:hAnsi="Times New Roman" w:eastAsia="Times New Roman"/>
          <w:sz w:val="24"/>
          <w:szCs w:val="24"/>
        </w:rPr>
      </w:pPr>
      <w:r>
        <w:rPr>
          <w:rFonts w:ascii="Times New Roman" w:hAnsi="Times New Roman" w:cs="Times New Roman" w:eastAsia="Times New Roman"/>
          <w:sz w:val="24"/>
          <w:szCs w:val="24"/>
        </w:rPr>
        <w:t xml:space="preserve">ФЕДЕРАЛЬНОЕ ГОСУДАРСТВЕННОЕ АВТОНОМНОЕ ОБРАЗОВАТЕЛЬНОЕ УЧРЕЖДЕНИЕ ВЫСШЕГО ОБРАЗОВАНИЯ</w:t>
      </w:r>
    </w:p>
    <w:p>
      <w:pPr>
        <w:spacing w:before="0" w:after="0" w:line="360" w:lineRule="auto"/>
        <w:contextualSpacing/>
        <w:ind w:firstLine="0" w:left="0"/>
        <w:jc w:val="center"/>
        <w:rPr>
          <w:rFonts w:ascii="Times New Roman" w:hAnsi="Times New Roman" w:eastAsia="Times New Roman"/>
          <w:b/>
          <w:sz w:val="24"/>
          <w:szCs w:val="24"/>
        </w:rPr>
      </w:pPr>
      <w:r>
        <w:rPr>
          <w:rFonts w:ascii="Times New Roman" w:hAnsi="Times New Roman" w:cs="Times New Roman" w:eastAsia="Times New Roman"/>
          <w:b/>
          <w:sz w:val="24"/>
          <w:szCs w:val="24"/>
        </w:rPr>
        <w:t xml:space="preserve">«МОСКОВСКИЙ ПОЛИТЕХНИЧЕСКИЙ УНИВЕРСИТЕТ»</w:t>
      </w:r>
    </w:p>
    <w:p>
      <w:pPr>
        <w:spacing w:before="0" w:after="0" w:line="360" w:lineRule="auto"/>
        <w:contextualSpacing/>
        <w:ind w:firstLine="0" w:left="0"/>
        <w:jc w:val="center"/>
        <w:rPr>
          <w:rFonts w:ascii="Times New Roman" w:hAnsi="Times New Roman" w:eastAsia="Times New Roman"/>
          <w:b/>
          <w:sz w:val="24"/>
          <w:szCs w:val="24"/>
        </w:rPr>
      </w:pPr>
      <w:r>
        <w:rPr>
          <w:rFonts w:ascii="Times New Roman" w:hAnsi="Times New Roman" w:cs="Times New Roman" w:eastAsia="Times New Roman"/>
          <w:b/>
          <w:sz w:val="24"/>
          <w:szCs w:val="24"/>
        </w:rPr>
        <w:t xml:space="preserve">(МОСКОВСКИЙ ПОЛИТЕХ)</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Отчёт по лабораторной работе №1</w:t>
      </w: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по дисциплине «Методология и практики DevOps»</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Тема: «Конференция»</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510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Выполнил:</w:t>
      </w:r>
    </w:p>
    <w:p>
      <w:pPr>
        <w:spacing w:before="0" w:after="0" w:line="360" w:lineRule="auto"/>
        <w:contextualSpacing/>
        <w:ind w:firstLine="0" w:left="510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студент группы 241-372</w:t>
      </w:r>
    </w:p>
    <w:p>
      <w:pPr>
        <w:spacing w:before="0" w:after="0" w:line="360" w:lineRule="auto"/>
        <w:contextualSpacing/>
        <w:ind w:firstLine="0" w:left="510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Попиков И.А.</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Москва, 2026</w:t>
      </w: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Содержание</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Введение</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1. Выбор предметной области и согласование темы</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2. Назначение системы, категории пользователей, сценарии и правила</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3. Техническое задание по ГОСТ</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4. Работоспособное приложение с HTTP API, базой данных и веб-интерфейсом</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5. Связанные сущности, основные операции и правила предметной области</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6. Обработка некорректных запросов, конфигурация и проверка работоспособности</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7. Удалённый Git-репозиторий, README, .gitignore, .env.example, описание API и схема данных</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8. Выполнение функции через задачу, ветку, коммиты, запрос на слияние и проверку</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9. Моделирование и разрешение конфликта слияния</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10. Тег первой версии v0.1.0</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11. Правила внесения изменений: проверки, запреты, порядок приёмки</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Заключение</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Список использованных источников</w:t>
      </w: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Введение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течение семестра команда разрабатывает и сопровождает собственное приложение. Оценивается не только работоспособность исходного кода, но и автоматизация процесса, в рамках которого изменение создаётся, проверяется, собирается, доставляется и эксплуатируется.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Лабораторная работа №1 «Сквозной проект и Git-процесс» задаёт основу этого процесса: выбор предметной области, формулирование требований, создание работающего приложения с HTTP API и реляционной базой данных, организацию Git-процесса и фиксацию единых правил внесения и приёмки изменений.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Предметная область проекта — организация конференции. Разработанная система «Конференция» обеспечивает учёт участников конференции, приглашений, заявок, оргвзносов, тезисов и потребности в гостинице. Система ориентирована на оргкомитет конференции и пригодна для формирования очередей рассылки и отчётности.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отчёте последовательно описано выполнение всех одиннадцати заданий лабораторной работы. По каждому заданию указано, что именно сделано, какие файлы проекта это реализуют, какие команды выполнялись и какие результаты получены. В местах, где по логике изложения требуются подтверждающие материалы, приведены врезки «Рисунок N» с точным указанием, что следует сфотографировать, где это находится и что должно быть видно на снимке.</w:t>
      </w: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1. Выбор предметной области и согласование темы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выбрать предметную область приложения и согласовать тему с преподавателем.</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Выбрана предметная область «организация научной конференции». Тема проекта согласована с преподавателем в следующей формулировке:</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Проект — Конференция.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Краткое описание — учёт участников конференции, приглашений, заявок, оргвзносов, тезисов и потребности в гостинице. Подходит для очередей рассылки и отчётов.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Основные сущности — участники; приглашения; заявки; оргвзносы; тезисы; гостиница.</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Обоснование выбора.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Предметная область удовлетворяет требованиям задания по следующим причинам: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содержит не менее трёх связанных сущностей — фактически реализовано девять таблиц с внешними ключами;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имеет естественные ограничения и содержательные правила: вместимость секции, жизненный цикл заявки, срок подтверждения брони гостиницы, порог принятия тезисов;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подразумевает разнородные отчёты: очередь рассылки приглашений, сводка по оргвзносам, потребность в размещении участников;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позволяет наглядно продемонстрировать полный цикл обработки данных: от подачи заявки до заселения в гостиницу.</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Состав команды: 1 человек — Попиков И.А., группа 241-372 (допускается команда от 1 до 3 человек).</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 Согласование темы проекта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переписки с преподавателем либо страницы выданного задания, где видна согласованная формулировка темы «Конференция» и перечень основных сущностей.</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Личный кабинет / почта / чат с преподавателем.</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Тема проекта и подтверждение согласования (сообщение преподавателя). Персональные данные третьих лиц можно замазать.</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 — Согласование темы проекта</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2. Назначение системы, категории пользователей, сценарии и правила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сформулировать назначение системы, категории пользователей, основные сценарии и обязательные правила её работы.</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2.1. Назначение системы.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Система «Конференция» автоматизирует работу оргкомитета конференции. Она сводит в единое информационное пространство весь путь участника — от подачи заявки до заселения в гостиницу — и предоставляет оргкомитету отчётность, необходимую для планирования рассылки приглашений, контроля оргвзносов и расчёта потребности в местах размещения.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2.2. Категории пользователей.</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600"/>
        <w:gridCol w:w="6400"/>
      </w:tblGrid>
      <w:tr>
        <w:trPr>
          <w:tblHeader/>
        </w:trPr>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Роль</w:t>
            </w:r>
          </w:p>
        </w:tc>
        <w:tc>
          <w:tcPr>
            <w:tcW w:w="6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Возможности в системе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Организатор (администратор)</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создаёт конференции и секции, ведёт реестр участников, принимает решения по заявкам, контролирует оргвзносы, формирует очередь рассылки приглашений, оформляет и подтверждает брони гостиницы, получает сводные отчёты</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 (слушатель)</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регистрируется в системе, создаёт и подаёт заявку на участие в секции, указывает потребность в гостинице, оплачивает оргвзнос</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Докладчик</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обладает возможностями участника и дополнительно подаёт тезисы доклада по принятой заявке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Рецензент</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получает тезисы на рецензию, выставляет оценку от 1 до 10 и комментарий, по оценке система принимает решение о публикации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2.3. Основные сценарии работы.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1. Подготовка конференции. Организатор создаёт конференцию с названием, датами, местом проведения и размером оргвзноса, затем открывает тематические секции с ограниченной вместимостью.</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2. Подача заявки. Участник создаёт заявку: выбирает секцию, указывает тему, аннотацию, формат участия (очный, дистанционный, стендовый) и потребность в гостинице. Заявка сохраняется черновиком, затем подаётся на рассмотрение.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3. Рассмотрение заявки. Организатор принимает или отклоняет заявку с обязательным комментарием. При принятии система автоматически начисляет оргвзнос и ставит приглашение в очередь рассылки.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4. Оплата оргвзноса. Организатор регистрирует оплату взноса с указанием платёжной ссылки; при отказе участника оформляет возврат.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5. Работа с тезисами. Докладчик добавляет тезисы по принятой заявке. Рецензент выставляет оценку; при оценке не ниже 6 баллов тезисы принимаются к публикации.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6. Размещение в гостинице. Организатор оформляет потребность в проживании с указанием числа гостей и дат. Бронь необходимо подтвердить в установленный срок.</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7. Рассылка и отчётность. Организатор выгружает очередь неотправленных приглашений и формирует сводный отчёт по конференции.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2.4. Обязательные правила работы системы.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Правила сформулированы как требования предметной области, реализованы в модуле бизнес-логики и проверяются автоматическими тестами.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600"/>
        <w:gridCol w:w="6300"/>
        <w:gridCol w:w="2100"/>
      </w:tblGrid>
      <w:tr>
        <w:trPr>
          <w:tblHeader/>
        </w:trPr>
        <w:tc>
          <w:tcPr>
            <w:tcW w:w="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w:t>
            </w:r>
          </w:p>
        </w:tc>
        <w:tc>
          <w:tcPr>
            <w:tcW w:w="6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Правило</w:t>
            </w:r>
          </w:p>
        </w:tc>
        <w:tc>
          <w:tcPr>
            <w:tcW w:w="2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Код ошибки при нарушении</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Жизненный цикл заявки: черновик → подана → принята или отклонена; отзыв возможен из черновика, поданной и принятой заявки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invalid_status_transition</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2</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Приём заявок возможен только по активной конференции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conference_inactive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Приём заявки возможен только в открытую секцию</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section_closed</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Число заявок в секции не превышает её вместимость; место освобождается при отклонении или отзыве заявки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section_capacity_exceeded</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Один участник — одна заявка в конкретной секции конкретной конференции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application_duplicate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6</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 принятии заявки автоматически начисляется оргвзнос в размере взноса конференции и создаётся приглашение в очереди рассылки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7</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 нельзя оплатить дважды и нельзя оплатить отменённый или возвращённый взнос</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fee_already_paid, fee_not_payable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8</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Возврат возможен только для оплаченного взноса и только по отозванной или отклонённой заявке</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fee_not_paid, refund_not_allowed_for_status</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9</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 принимаются только по принятой заявке и в пределах допустимого размера файла</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thesis_requires_accepted_application</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10</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 принимаются при оценке рецензента не ниже 6 баллов из 10</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11</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Дистанционному участнику гостиница не предоставляется</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hotel_not_allowed_for_online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12</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Даты проживания должны укладываться в даты проведения конференции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hotel_dates_out_of_conference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13</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Одна активная бронь на одну заявку</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hotel_booking_exists</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14</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Бронь, не подтверждённая в установленный срок (по умолчанию 48 часов), не может быть подтверждена</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hotel_confirmation_expired</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15</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 отзыве заявки активная бронь отменяется, неоплаченный оргвзнос отменяется</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Реализация правил.</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Правила сосредоточены в модуле app/services.py. Роутеры HTTP-слоя только принимают запрос, вызывают соответствующую функцию сервиса и преобразуют исключение DomainError в ответ HTTP 409 с машиночитаемым кодом правила. Базовые инварианты (уникальность, ссылочная целостность, диапазоны значений) дополнительно закреплены ограничениями базы данных.</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 Список обязательных правил в файле app/services.py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фрагмента файла app/services.py в Visual Studio Code, где видны словарь ALLOWED_TRANSITIONS с допустимыми переходами статусов заявки и функции assert_section_has_free_seats, decide_application.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Файл app/services.py — вторая-третья сотня строк файла.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Имена функций и словарь переходов, а также номера строк в левой части редактора.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 — Список обязательных правил в файле app/services.py</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3. Техническое задание по ГОСТ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составить техническое задание по ГОСТ (например, описание: функции, сущности, связи, ограничения, ошибки и требования к хранению данных).</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Разработано техническое задание на программу в соответствии с ГОСТ 19.201-78 «Единая система программной документации. Техническое задание. Требования к содержанию и оформлению». Документ оформлен отдельным файлом и содержит полный набор обязательных разделов:</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600"/>
        <w:gridCol w:w="6400"/>
      </w:tblGrid>
      <w:tr>
        <w:trPr>
          <w:tblHeader/>
        </w:trPr>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Раздел ТЗ</w:t>
            </w:r>
          </w:p>
        </w:tc>
        <w:tc>
          <w:tcPr>
            <w:tcW w:w="6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Содержание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 Общие положения</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наименование программы (полное и краткое), краткая характеристика области применения</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2. Основания для разработки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образовательная программа, учебный план и рабочая программа дисциплины</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 Назначение разработки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функциональное назначение (учёт участников, заявок, оргвзносов, тезисов, гостиницы, приглашений и отчётность) и эксплуатационное назначение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 Требования к программе</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состав выполняемых функций; организация входных и выходных данных; временные характеристики; требования к надёжности; условия эксплуатации; требования к составу и параметрам технических средств; специальные требования</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 Требования к программной документации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программных документов (ТЗ, программа и методика испытаний, руководство пользователя, руководство администратора, описание программы и др.)</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6. Стадии и этапы разработки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предпроектная, проектная и эксплуатационная стадии с перечнем этапов и содержанием работ</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7. Порядок контроля и приёмки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приёмо-сдаточные испытания по программе и методике испытаний, протокол испытаний, акт приёмки-сдачи, обязательная живая демонстрация и контрольное изменение в Git-процессе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Список использованных источников</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 19.201-78, ГОСТ 34.601-90, ГОСТ 24.701-86, ГОСТ 7.32-2017, ГОСТ Р 7.0.97-2016, документация FastAPI и SQLAlchemy</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техническом задании отдельно описаны: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функции программы — перечень операций по каждой сущности и правила их выполнения;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сущности и связи — девять таблиц (конференции, секции, участники, заявки, приглашения, оргвзносы, тезисы, брони гостиницы, журнал действий), связи «один ко многим» и «один к одному», каскадное удаление дочерних записей;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ограничения — уникальность (код конференции, e-mail участника, заявка участника в секции, одна бронь и одно приглашение на заявку), проверки CHECK на даты, суммы, оценку и число гостей, обязательность полей;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обработку ошибок — единый формат ответа об ошибке с кодом, сообщением и перечнем некорректных полей; коды HTTP 400, 404, 409, 422, 500;</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требования к хранению данных — реляционная база данных, ссылочная целостность, хранение времени в UTC, ведение журнала значимых действий, резервное копирование и восстановление, хранение секретов только в переменных окружения.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Готовый документ приложен к отчёту отдельным файлом: docs/ТЗ_Конференция_ГОСТ_19.201-78.docx.</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 Титульный лист технического задания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первой страницы файла docs/ТЗ_Конференция_ГОСТ_19.201-78.docx, открытого в Microsoft Word.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Файл docs/ТЗ_Конференция_ГОСТ_19.201-78.docx в папке проекта (или приложенный к отчёту).</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Гриф «УТВЕРЖДЕН», обозначение документа, наименование программы, слово «Техническое задание», количество листов и год. Дополнительно можно сделать второй скриншот — лист утверждения с таблицей СОГЛАСОВАНО / УТВЕРЖДАЮ.</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 — Титульный лист технического задания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4. Содержание технического задания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«СОДЕРЖАНИЕ» технического задания либо скриншот страницы раздела «4 ТРЕБОВАНИЯ К ПРОГРАММЕ» с подразделами 4.1–4.5.</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Тот же файл технического задания.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разделов 1–7 и списка источников, либо подразделы 4.1.1, 4.1.2, 4.1.3, 4.2–4.5 — чтобы было видно, что структура соответствует ГОСТ 19.201-78.</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4 — Содержание технического задания</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4. Работоспособное приложение с HTTP API, базой данных и веб-интерфейсом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разработать работоспособное приложение с HTTP API и реляционной базой данных. Веб-интерфейс обязателен.</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4.1. Выбранные технологии.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3300"/>
        <w:gridCol w:w="3800"/>
      </w:tblGrid>
      <w:tr>
        <w:trPr>
          <w:tblHeader/>
        </w:trPr>
        <w:tc>
          <w:tcPr>
            <w:tcW w:w="1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Компонент</w:t>
            </w:r>
          </w:p>
        </w:tc>
        <w:tc>
          <w:tcPr>
            <w:tcW w:w="3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Технология</w:t>
            </w:r>
          </w:p>
        </w:tc>
        <w:tc>
          <w:tcPr>
            <w:tcW w:w="38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Назначение</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Язык</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Python 3.11+</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реализация серверной части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 API</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FastAPI + Uvicorn</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маршруты, валидация, документация OpenAPI</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ORM</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SQLAlchemy 2.0</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модели, связи, ограничения, сессии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Валидация</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Pydantic v2</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схемы запросов и ответов</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СУБД</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SQLite (локально) / PostgreSQL 16 (в контейнерах)</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реляционное хранение данных</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Веб-интерфейс</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Jinja2 + ванильный JavaScript</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рабочая страница со вкладками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Контейнеризация</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Docker + Docker Compose</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единое окружение запуска</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Тесты</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pytest</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55 автоматических тестов</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Качество кода</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ruff</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форматирование и статический анализ</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CI</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Actions</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автоматические проверки изменений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4.2. Структура проекта.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Проект имеет слоистую структуру: HTTP-слой не содержит бизнес-логики, правила предметной области вынесены в отдельный модуль, доступ к данным изолирован в моделях и сессиях.</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DevOps/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app/</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main.py            сборка приложения, обработчики ошибок, статика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config.py          конфигурация из переменных окружения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database.py        движок, сессии, создание схемы, PRAGMA foreign_keys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models.py          9 таблиц предметной области и связи между ними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schemas.py         схемы валидации и ответов API</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services.py        бизнес-правила предметной области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seed.py            администратор и демонстрационные данные</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web.py             страница веб-интерфейса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routers/           HTTP-маршруты (service, conferences, participants,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applications, workflow, reports)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templates/         HTML-шаблон интерфейса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static/            CSS и JavaScript интерфейса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scripts/             dev.ps1, migrate, backup, restore, smoke, container_check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tests/               conftest.py и 5 модулей тестов</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docs/                API.md, DATA_MODEL.md, GIT_WORKFLOW.md, DEFENSE_GUIDE.md, ТЗ</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.github/workflows/   ci.yml — автоматические проверки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Dockerfile, docker-compose.yml, Makefile, pyproject.toml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README.md, CONTRIBUTING.md, .env.example, .gitignore</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4.3. Запуск приложения.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Все операции выполняются едиными командами. В Windows используется скрипт scripts/dev.ps1 (полный аналог Makefile), при наличии GNU make — команды make с теми же именами.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Первоначальная настройка: виртуальное окружение, зависимости, .env</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setup</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Создание схемы базы данных</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migrate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Запуск приложения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run        # http://127.0.0.1:8000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Запуск в контейнерах (приложение + PostgreSQL)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up</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container-check</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Адреса после запуска: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3400"/>
        <w:gridCol w:w="5600"/>
      </w:tblGrid>
      <w:tr>
        <w:trPr>
          <w:tblHeader/>
        </w:trPr>
        <w:tc>
          <w:tcPr>
            <w:tcW w:w="3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Адрес</w:t>
            </w:r>
          </w:p>
        </w:tc>
        <w:tc>
          <w:tcPr>
            <w:tcW w:w="5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Назначение</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веб-интерфейс со вкладками Сводка, Заявки, Оргвзносы, Приглашения, Гостиница, Тезисы</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http://127.0.0.1:8000/docs</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Swagger UI — интерактивная документация API</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http://127.0.0.1:8000/redoc</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ReDoc — альтернативное представление документации</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http://127.0.0.1:8000/openapi.json</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машиночитаемая схема OpenAPI</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http://127.0.0.1:8000/health</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служебный адрес проверки работоспособности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4.4. Состав HTTP API.</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API построено по принципу CRUD для каждой сущности, дополнено операциями жизненного цикла и отчётными методами. Полное описание приведено в файле docs/API.md, живая документация доступна на /docs.</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7100"/>
      </w:tblGrid>
      <w:tr>
        <w:trPr>
          <w:tblHeader/>
        </w:trPr>
        <w:tc>
          <w:tcPr>
            <w:tcW w:w="1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Группа методов</w:t>
            </w:r>
          </w:p>
        </w:tc>
        <w:tc>
          <w:tcPr>
            <w:tcW w:w="7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Методы</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Служебные</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/health, GET /version</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/api/v1/conferences; GET, PATCH, DELETE /api/v1/conferences/{id}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Секции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/api/v1/sections; GET, PATCH, DELETE /api/v1/sections/{id}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/api/v1/participants; GET, PATCH, DELETE /api/v1/participants/{id}; поиск по ФИО и e-mail, фильтр по роли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Заявки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/api/v1/applications; PATCH, DELETE /api/v1/applications/{id}; POST /{id}/submit; POST /{id}/decision; POST /{id}/withdraw</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Приглашения</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/api/v1/invitations; POST /api/v1/invitations/{id}/send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Оргвзносы</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/api/v1/fees; POST /api/v1/fees/{id}/pay; POST /api/v1/fees/{id}/refund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/api/v1/theses; POST /api/v1/applications/{id}/theses; POST /api/v1/theses/{id}/review</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/api/v1/hotel-bookings; POST /api/v1/hotel-bookings/{id}/confirm; POST /api/v1/hotel-bookings/expire-stale</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Отчёты</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/api/v1/reports/conference/{id}; GET /api/v1/reports/invitations-queue</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4.5. Работа с базой данных.</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Схема создаётся командой .\scripts\dev.ps1 migrate. Локально используется файл SQLite data/conference.db, в контейнерном окружении — PostgreSQL 16 с томом db-data, поэтому данные сохраняются между перезапусками. Перед запуском приложения контейнер базы проходит проверку pg_isready, а приложение стартует только после её успешного завершения.</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5. Применение миграций и созданные таблицы</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окна терминала с результатом выполнения команды .\scripts\dev.ps1 migrate.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Строки вида «Созданы таблицы: applications, audit_log, conferences, fees, hotel_bookings, invitations, participants, sections, theses» и итоговую строку «Всего таблиц: 9».</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5 — Применение миграций и созданные таблицы</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6. Структура проекта в Visual Studio Code</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панели Explorer с раскрытыми каталогами app, app/routers, app/templates, scripts, tests, docs, .github/workflows.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Visual Studio Code, левая боковая панель Explorer.</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Слоистую структуру проекта: видно разделение на модели, схемы, сервисы, роутеры, шаблоны, тесты и инфраструктуру.</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6 — Структура проекта в Visual Studio Code</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7. Запущенное приложение: главная страница веб-интерфейса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браузера с открытой страницей http://127.0.0.1:8000 через несколько секунд после запуска.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адресная строка http://127.0.0.1:8000.</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Шапку с названием «Конференция», вкладки Сводка, Заявки, Оргвзносы, Приглашения, Гостиница, Тезисы, блоки сводки с числами и индикатор версии и состояния базы данных в правом верхнем углу.</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7 — Запущенное приложение: главная страница веб-интерфейса</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8. Документация API (Swagger UI)</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http://127.0.0.1:8000/docs.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адресная строка http://127.0.0.1:8000/docs.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Заголовок «Конференция — API учёта участников», версию 0.1.0 и сгруппированный перечень методов: service, conferences, participants, applications, invitations, fees, theses, hotel, reports.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8 — Документация API (Swagger UI)</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4.6. Проверка работоспособности приложения.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Работоспособность подтверждена автоматическими тестами (55 тестов, все проходят), скриптом дымовой проверки и ручной проверкой в браузере. Дымовая проверка запускает приложение и последовательно обращается к адресам /health, /version, /, /openapi.json и /api/v1/conferences.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&gt; .\scripts\dev.ps1 verify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All checks passed!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55 passed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/health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/version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/openapi.json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/api/v1/conferences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Дымовая проверка пройдена</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9. Результат полного набора локальных проверок</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команды .\scripts\dev.ps1 verify.</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Строки «All checks passed!», «32 files already formatted», «55 passed», перечень проверенных адресов и итоговую строку «Все проверки пройдены».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9 — Результат полного набора локальных проверок</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10. Ответ служебного адреса /health</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браузера со страницей http://127.0.0.1:8000/health (или результата команды curl http://127.0.0.1:8000/health).</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или терминал.</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JSON-ответ вида {"status":"ok","version":"0.1.0","database":"ok","app_env":"local","checked_at":"..."}.</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10 — Ответ служебного адреса /health</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5. Связанные сущности, основные операции и правила предметной области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реализовать не менее трёх связанных сущностей, основные операции и хотя бы одно содержательное правило предметной области.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5.1. Реализованные сущности.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Требование «не менее трёх связанных сущностей» перевыполнено: реализовано девять таблиц с внешними ключами. Ниже перечислены шесть основных сущностей предметной области и три служебные.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700"/>
        <w:gridCol w:w="1800"/>
        <w:gridCol w:w="3300"/>
        <w:gridCol w:w="2200"/>
      </w:tblGrid>
      <w:tr>
        <w:trPr>
          <w:tblHeader/>
        </w:trPr>
        <w:tc>
          <w:tcPr>
            <w:tcW w:w="17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Сущность</w:t>
            </w:r>
          </w:p>
        </w:tc>
        <w:tc>
          <w:tcPr>
            <w:tcW w:w="18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Таблица</w:t>
            </w:r>
          </w:p>
        </w:tc>
        <w:tc>
          <w:tcPr>
            <w:tcW w:w="3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Ключевые поля</w:t>
            </w:r>
          </w:p>
        </w:tc>
        <w:tc>
          <w:tcPr>
            <w:tcW w:w="2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Связи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participants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ФИО, e-mail (уникальный), организация, должность, город, роль</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1:N с заявками и приглашениями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Заявка</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applications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тема, аннотация, формат участия, статус, потребность в гостинице</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конференцией, секцией и участником; 1:1 с приглашением и броней; 1:N с оргвзносами и тезисами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Приглашение</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invitations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тема и текст письма, статус очереди, число попыток, текст ошибки</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заявкой и участником</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fees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сумма, валюта, статус, платёжная ссылка, даты оплаты и возврата</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заявкой</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theses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аннотация, ключевые слова, файл, статус, оценка рецензента</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заявкой</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hotel_bookings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 тип номера, число гостей, даты заезда и выезда, статус, срок подтверждения</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1:1 с заявкой</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Конференция</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conferences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код, даты, место, размер оргвзноса, признак активности</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1:N с секциями и заявками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Секция</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вместимость, признак открытия</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конференцией; 1:N с заявками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Журнал действий</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audit_log</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сущность, идентификатор, действие, подробности, время</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служебная таблица для разбора инцидентов</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5.2. Схема связей.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Центральной сущностью является заявка (applications): она связывает участника, секцию и конференцию и владеет приглашением, оргвзносами, тезисами и бронью гостиницы. При удалении заявки дочерние записи удаляются каскадно, что исключает появление «висячих» связей.</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conferences -+-&gt; sections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+-&gt; applications &lt;----+--- participants --&lt; invitations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+--&lt; fees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+--&lt; theses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hotel_bookings   (1:1)</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invitation       (1:1)</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5.3. Основные операции.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300"/>
        <w:gridCol w:w="6700"/>
      </w:tblGrid>
      <w:tr>
        <w:trPr>
          <w:tblHeader/>
        </w:trPr>
        <w:tc>
          <w:tcPr>
            <w:tcW w:w="2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Сущность</w:t>
            </w:r>
          </w:p>
        </w:tc>
        <w:tc>
          <w:tcPr>
            <w:tcW w:w="67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Операции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Участники</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создание, чтение, изменение, удаление, поиск по ФИО и e-mail, фильтрация по роли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Конференции и секции</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создание, чтение, изменение, удаление; просмотр загрузки секции (занято и свободно мест)</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Заявки</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создание черновика, изменение черновика, подача, принятие, отклонение, отзыв, удаление черновика или отозванной заявки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Приглашения</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постановка в очередь, отправка, фиксация ошибки отправки, повторная отправка, выгрузка очереди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Оргвзносы</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начисление, оплата, возврат, фильтрация по статусу</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добавление по принятой заявке, рецензирование с оценкой, изменение статуса по порогу баллов</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оформление потребности, подтверждение брони, автоматическое истечение просроченных броней, отмена при отзыве заявки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Отчётность</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сводный отчёт по конференции, очередь неотправленных приглашений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5.4. Содержательные правила предметной области.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Реализовано пятнадцать правил (перечислены в разделе 2 отчёта). Ниже подробнее описаны ключевые, поскольку они демонстрируют не просто CRUD-операции, а логику предметной области.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вместимости секции.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Секция имеет ограниченную вместимость (по умолчанию 3 места). При подаче заявки система считает число заявок в статусах «подана» и «принята» и отклоняет подачу, если свободных мест нет, возвращая код section_capacity_exceeded. Место освобождается автоматически при отклонении или отзыве заявки, поэтому отказ одного участника позволяет принять следующего.</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автоматических последствий принятия заявки.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Принятие заявки — составная операция: система проверяет допустимость перехода статуса и наличие мест, переводит заявку в статус «принята», начисляет оргвзнос в размере взноса конференции и создаёт приглашение в статусе «в очереди». Это исключает ситуацию, когда принятая заявка остаётся без начисления взноса или без приглашения.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срока подтверждения брони гостиницы.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При оформлении потребности в гостинице система вычисляет срок подтверждения: текущее время плюс 48 часов (значение настраивается переменной окружения HOTEL_CONFIRMATION_HOURS). Бронь, не подтверждённая в срок, не может быть подтверждена: она переводится в статус «истекла», и операция возвращает код hotel_confirmation_expired. Дистанционному участнику гостиница не предоставляется, а даты проживания должны укладываться в даты конференции.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порога принятия тезисов.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Рецензент выставляет оценку от 1 до 10. Тезисы принимаются к публикации только при оценке не ниже 6 баллов; при меньшей оценке они переводятся в статус «отклонены» даже при положительном решении рецензента. Оценка вне диапазона отклоняется валидацией с ответом 422.</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зависимости от формата участия.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Заявка с дистанционным форматом участия не может содержать потребность в гостинице: такая комбинация отклоняется при создании и при изменении заявки, а также при попытке оформить бронь.</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возврата оргвзноса.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Возврат возможен только для оплаченного взноса и только по заявке, находящейся в статусе «отозвана» или «отклонена». Попытка вернуть неоплаченный взнос возвращает код fee_not_paid, попытка вернуть взнос по принятой заявке — refund_not_allowed_for_status.</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11. Демонстрация правила вместимости секции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веб-интерфейса с всплывающим сообщением об ошибке после попытки подать четвёртую заявку в секцию с вместимостью 3 места.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Вкладка «Заявки», кнопка «Подать» у четвёртой заявки в одной секции.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Всплывающее сообщение с кодом section_capacity_exceeded и текстом «В секции … нет свободных мест (3 из 3 занято)».</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11 — Демонстрация правила вместимости секции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12. Демонстрация правила автоматического начисления оргвзноса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Два скриншота: первый — вкладка «Заявки» с заявкой в статусе «принята»; второй — вкладка «Оргвзносы» с начислением по этой заявке и вкладка «Приглашения» с приглашением в очереди.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Вкладки «Заявки», «Оргвзносы», «Приглашения» веб-интерфейса.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после принятия заявки автоматически появились начисление оргвзноса на сумму взноса конференции и приглашение со статусом «в очереди».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12 — Демонстрация правила автоматического начисления оргвзноса</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13. Демонстрация правила срока подтверждения брони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вкладки «Гостиница» с созданной бронью, у которой видны даты заезда и выезда, число ночей и статус, либо скриншот ответа API с полем confirmation_deadline.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Вкладка «Гостиница» веб-интерфейса либо результат запроса POST /api/v1/hotel-bookings в Swagger UI.</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Поля check_in, check_out, nights, status = requested и confirmation_deadline, отстоящий от текущего времени на 48 часов.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13 — Демонстрация правила срока подтверждения брони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14. Демонстрация порога принятия тезисов</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вкладки «Тезисы» после нажатия «Отклонить (4)» и после нажатия «Принять (8)» — видно разный итоговый статус при разной оценке.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Вкладка «Тезисы» веб-интерфейса.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Для оценки 4 — статус «отклонены», для оценки 8 — статус «приняты»; в таблице заполнены столбцы «Рецензент» и «Оценка».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14 — Демонстрация порога принятия тезисов</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15. Покрытие правил автоматическими тестами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команды .\scripts\dev.ps1 test (или make test).</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Итоговую строку вида «55 passed» — то есть все тесты, включая тесты правил предметной области, проходят.</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15 — Покрытие правил автоматическими тестами</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6. Обработка некорректных запросов, конфигурация и проверка работоспособности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добавить обработку некорректных запросов, конфигурацию через переменные окружения и служебный адрес проверки работоспособности.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6.1. Обработка некорректных запросов.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Все ответы с кодом 400 и выше имеют единый формат, что упрощает разбор ошибок на клиенте и в системе наблюдения: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"error":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"code": "section_capacity_exceeded",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"message": "В секции «CI/CD и автоматизация релизов» нет свободных мест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(3 из 3 занято)",</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"details": null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Обработаны следующие классы некорректных запросов:</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400"/>
        <w:gridCol w:w="900"/>
        <w:gridCol w:w="2600"/>
        <w:gridCol w:w="3100"/>
      </w:tblGrid>
      <w:tr>
        <w:trPr>
          <w:tblHeader/>
        </w:trPr>
        <w:tc>
          <w:tcPr>
            <w:tcW w:w="2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Ситуация</w:t>
            </w:r>
          </w:p>
        </w:tc>
        <w:tc>
          <w:tcPr>
            <w:tcW w:w="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Код HTTP</w:t>
            </w:r>
          </w:p>
        </w:tc>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Код ошибки</w:t>
            </w:r>
          </w:p>
        </w:tc>
        <w:tc>
          <w:tcPr>
            <w:tcW w:w="3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проверяется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Несуществующий объект</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404</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not_found</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конференция, секция, участник, заявка, оргвзнос, тезисы, бронь</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Несуществующий маршрут</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404</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адрес запроса</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Неверная схема запроса</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422</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validation_error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обязательные поля, формат e-mail, диапазоны чисел, даты; в поле details перечислены конкретные поля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Некорректный параметр запроса</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422</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validation_error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например limit = 0 или отрицательный offset</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Некорректные данные, проверяемые логикой</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400</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invalid_conference_dates, section_not_in_conference, hotel_not_allowed_for_online</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соотношение дат, принадлежность секции конференции, совместимость формата участия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Нарушение правила предметной области</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409</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код конкретного правила</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вместимость секции, переходы статусов, дубликаты, сроки, суммы</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Нарушение целостности данных</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409</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integrity_error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уникальность и ссылочная целостность на уровне базы данных</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Непредвиденная ошибка</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500</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internal_error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внутренняя ошибка; при APP_DEBUG = false подробности не раскрываются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Дополнительно каждый ответ содержит заголовок X-Request-ID — сквозной идентификатор запроса. Значение либо принимается от клиента, либо генерируется; оно попадает в журнал приложения и в сообщение обработчика ошибок, что позволяет разобрать инцидент по конкретному запросу.</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16. Единый формат ответа об ошибке (422)</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Swagger UI или окна терминала с ответом на некорректный запрос: например, POST /api/v1/participants с неверным e-mail.</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http://127.0.0.1:8000/docs, метод POST /api/v1/participants → Try it out, либо команда curl с некорректным телом запроса.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Код HTTP 422 и тело {"error":{"code":"validation_error","message":"Запрос содержит некорректные данные","details":[{"field":"body.email",...}]}}.</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16 — Единый формат ответа об ошибке (422)</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17. Ответ при нарушении правила предметной области (409)</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ответа на попытку подать заявку в заполненную секцию или оплатить уже оплаченный оргвзнос.</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Swagger UI (метод POST /api/v1/applications/{id}/submit) либо всплывающее сообщение в веб-интерфейсе.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Код HTTP 409 и поле error.code с кодом конкретного правила, например section_capacity_exceeded или fee_already_paid.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17 — Ответ при нарушении правила предметной области (409)</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6.2. Конфигурация через переменные окружения.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Все параметры приложения читаются из переменных окружения. В репозитории хранится только шаблон .env.example с безопасными значениями-заглушками; рабочий файл .env добавлен в .gitignore и в репозиторий не попадает.</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3100"/>
        <w:gridCol w:w="3000"/>
      </w:tblGrid>
      <w:tr>
        <w:trPr>
          <w:tblHeader/>
        </w:trPr>
        <w:tc>
          <w:tcPr>
            <w:tcW w:w="2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Переменная</w:t>
            </w:r>
          </w:p>
        </w:tc>
        <w:tc>
          <w:tcPr>
            <w:tcW w:w="3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По умолчанию</w:t>
            </w:r>
          </w:p>
        </w:tc>
        <w:tc>
          <w:tcPr>
            <w:tcW w:w="30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Назначение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APP_NAME</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Конференция</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приложения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APP_ENV</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local</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окружение: local, docker, ci</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APP_DEBUG</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true</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подробные сообщения об ошибках</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APP_HOST / APP_PORT</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127.0.0.1 / 8000</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адрес и порт приложения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DATABASE_URL</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sqlite+pysqlite:///./data/conference.db</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строка подключения к базе данных</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ADMIN_EMAIL</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admin@conference.local</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e-mail администратора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ADMIN_PASSWORD</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ChangeMe_12345</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пароль администратора (подлежит замене)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ADMIN_FULL_NAME</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Администратор программы</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ФИО администратора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SEED_DEMO_DATA</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true</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создавать демонстрационные данные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SECTION_CAPACITY</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вместимость секции по умолчанию</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HOTEL_CONFIRMATION_HOURS</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48</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срок подтверждения брони, часы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ABSTRACT_MAX_SIZE_KB</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512</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предел размера файла тезисов</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Значения по умолчанию пригодны только для локальной разработки. Для эксплуатации задаются собственные значения: например, в контейнерном окружении DATABASE_URL указывает на PostgreSQL, а APP_DEBUG принимает значение false.</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6.3. Служебный адрес проверки работоспособности.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Метод GET /health выполняет простейший запрос SELECT 1 к базе данных и возвращает её состояние. Если база недоступна, поле database содержит описание ошибки, а status принимает значение degraded. Этот адрес используется тремя потребителями: инструкцией HEALTHCHECK в Dockerfile, скриптом scripts/container_check.py и шагом проверки в конвейере CI.</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GET /health</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"status": "ok",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"version": "0.1.0",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"database": "ok",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"app_env": "local",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"checked_at": "2026-01-15T10:00:00Z"</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18. Файл .env.example с перечнем переменных окружения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.env.example, открытого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Корень проекта, файл .env.example.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переменных окружения с комментариями: параметры приложения, строка подключения к базе данных, учётная запись администратора, правила предметной области.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18 — Файл .env.example с перечнем переменных окружения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19. Проверка работоспособности контейнера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 .\scripts\dev.ps1 up и .\scripts\dev.ps1 container-check, а также вывода docker compose ps.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 (при установленном Docker Desktop).</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Два контейнера conference-app и conference-db в состоянии running / healthy и строку «OK  http://127.0.0.1:8000/health -&gt; {...status: ok...}».</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19 — Проверка работоспособности контейнера</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7. Удалённый Git-репозиторий, README, .gitignore, .env.example, описание API и схема данных</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создать удалённый Git-репозиторий, README, .gitignore, .env.example, описание API и схему данных.</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000"/>
        <w:gridCol w:w="2600"/>
        <w:gridCol w:w="4400"/>
      </w:tblGrid>
      <w:tr>
        <w:trPr>
          <w:tblHeader/>
        </w:trPr>
        <w:tc>
          <w:tcPr>
            <w:tcW w:w="20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Артефакт</w:t>
            </w:r>
          </w:p>
        </w:tc>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Файл</w:t>
            </w:r>
          </w:p>
        </w:tc>
        <w:tc>
          <w:tcPr>
            <w:tcW w:w="4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Содержание</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Удалённый репозиторий</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https://github.com/Galaxy-1337/PopiKazaryan_DevOps_2026</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основная ветка main, настроен удалённый репозиторий origin</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Документация проекта</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README.md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назначение системы, категории пользователей, сценарии, правила работы, архитектура, быстрый старт, единый командный интерфейс, конфигурация, ссылки на описание API и схему данных</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Исключения Git</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.gitignore</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секреты (.env), база и резервные копии (data/, backups/, *.db), виртуальное окружение, кэши, каталоги редакторов и ОС</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Шаблон конфигурации</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.env.example</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всех переменных окружения с безопасными значениями по умолчанию</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Описание API</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docs/API.md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все методы с примерами запросов и ответов, перечень кодов ошибок, правила пагинации, трассировка запросов</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Схема данных</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docs/DATA_MODEL.md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диаграмма связей, описание девяти таблиц, ограничения целостности, требования к хранению данных</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Правила работы</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CONTRIBUTING.md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обязательные проверки, запрещённые действия, порядок приёмки</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Git-процесс</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docs/GIT_WORKFLOW.md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пошаговое руководство от задачи до тега версии, включая разрешение конфликта</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Техническое задание</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docs/ТЗ_Конференция_ГОСТ_19.201-78.docx</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ТЗ по ГОСТ 19.201-78 (см. задание 3)</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Удалённый репозиторий подключён к рабочей папке проекта командой:</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remote add origin https://github.com/Galaxy-1337/PopiKazaryan_DevOps_2026.git</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remote -v</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origin  https://github.com/Galaxy-1337/PopiKazaryan_DevOps_2026.git (fetch)</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origin  https://github.com/Galaxy-1337/PopiKazaryan_DevOps_2026.git (push)</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Ежедневный цикл работы сводится к трём командам:</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add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"feat(hotel): добавить сущность брони гостиницы"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push</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20. Удалённый репозиторий на GitHub</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главной страницы репозитория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адрес https://github.com/Galaxy-1337/PopiKazaryan_DevOps_2026.</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репозитория, список файлов в корне (app, docs, scripts, tests, README.md, CONTRIBUTING.md, Dockerfile, Makefile, .env.example), активную ветку main и количество коммитов.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20 — Удалённый репозиторий на GitHub</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21. Файл .gitignore в репозитории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.gitignore, открытого на GitHub или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Корень проекта, файл .gitignore.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Правила игнорирования: .env, data/, backups/, *.db, .venv/, __pycache__/, .pytest_cache/, .ruff_cache/.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21 — Файл .gitignore в репозитории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22. Содержание README.md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отображения README.md на главной странице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Главная страница репозитория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Оглавление документа, разделы «Назначение системы», «Быстрый старт» и «Обязательные правила работы».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22 — Содержание README.md</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23. Описание API (docs/API.md)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docs/API.md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docs → API.md.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Разделы с описанием методов, единый формат ошибки и таблицу кодов нарушения правил предметной области.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23 — Описание API (docs/API.md)</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24. Схема данных (docs/DATA_MODEL.md)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docs/DATA_MODEL.md на GitHub или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docs → DATA_MODEL.md.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Диаграмму связей таблиц и таблицу с перечнем ограничений целостности (уникальность и проверки CHECK).</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24 — Схема данных (docs/DATA_MODEL.md)</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8. Выполнение функции через задачу, ветку, коммиты, запрос на слияние и проверку</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организовать выполнение одной функции через задачу, отдельную ветку, несколько осмысленных коммитов, запрос на слияние и проверку изменений.</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8.1. Выбранная функция.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Для демонстрации процесса выбрана функция «Отчёт „Список рассылки по организациям“»: она добавляет новый отчётный метод API, новую схему ответа и требует изменений в коде, тестах и документации — то есть проходит весь путь изменения от задачи до тега.</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8.2. Последовательность выполнения.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4400"/>
        <w:gridCol w:w="2700"/>
      </w:tblGrid>
      <w:tr>
        <w:trPr>
          <w:tblHeader/>
        </w:trPr>
        <w:tc>
          <w:tcPr>
            <w:tcW w:w="1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Шаг процесса</w:t>
            </w:r>
          </w:p>
        </w:tc>
        <w:tc>
          <w:tcPr>
            <w:tcW w:w="4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сделано</w:t>
            </w:r>
          </w:p>
        </w:tc>
        <w:tc>
          <w:tcPr>
            <w:tcW w:w="27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Команда или действие</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Задача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создана задача с описанием результата и критериями готовности</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Issues → New issue</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Ветка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создана ветка feature/1-mailing-list от актуального main</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switch -c feature/1-mailing-list</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1</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добавлены схема ответа и метод GET /api/v1/reports/mailing-list/{conference_id}</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"feat(reports): добавить список рассылки по организациям"</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2</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написаны тесты: группировка по организациям и отсев непринятых заявок</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"test(reports): покрыть список рассылки и отсев непринятых заявок"</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3</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обновлена документация: описание метода в docs/API.md и README</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"docs(reports): описать отчёт списка рассылки по организациям"</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Локальная проверка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выполнен полный набор проверок: 55 тестов, анализ, форматирование, дымовая проверка</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verify</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Отправка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ветка отправлена в удалённый репозиторий</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push -u origin feature/1-mailing-list</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Запрос на слияние</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 Pull Request с описанием, ссылкой на задачу и разделом «Как проверить»</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Compare &amp; pull request</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Проверка изменений</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CI выполнил форматирование, анализ, тесты, дымовую проверку, сборку контейнера и проверку /health</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Actions (зелёный статус)</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Слияние</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PR слит в main отдельным коммитом слияния, ветка удалена</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Merge pull request → Delete branch</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Актуализация</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локальная main обновлена, ветка удалена</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switch main; git pull --ff-only; git branch -d feature/1-mailing-list</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8.3. Содержание запроса на слияние.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Описание PR оформлено по шаблону: ссылка на задачу (Closes #N), перечень выполненных работ, порядок ручной проверки и контрольный список (пройдены ли локальные проверки, добавлены ли тесты, обновлена ли документация, нет ли секретов в коммите).</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8.4. Проверка изменений перед слиянием.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Изменение считается проверенным, если выполнены два условия: локально пройден полный набор проверок и в CI зелёный статус по обеим группам заданий — «Локальные проверки и тесты» и «Сборка и проверка контейнера». Дополнительно просматривается вкладка Files changed, чтобы убедиться, что в PR нет секретов и посторонних файлов.</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8.5. Что подтверждают команды.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История ветки функции: три осмысленных коммита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log --oneline --graph --decorate -6</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18bf934 (feature/1-mailing-list) docs(reports): описать отчёт списка рассылки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fecde85 test(reports): покрыть список рассылки и отсев непринятых заявок</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3c8f4ca feat(reports): добавить список рассылки по организациям</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Коммит слияния в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log --oneline --graph --decorate -8</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230186c (tag: v0.1.0, main) docs: приложить ТЗ по ГОСТ и актуализировать отчёт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b015c70 merge: разрешить конфликт вместимости секции (оставлено 5 мест)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12406a7 merge: влить chore/2-capacity-a (вместимость 5 мест)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483d10c merge: влить feature/1-mailing-list (отчёт «список рассылки»)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ea1df49 chore: сформировать сквозной проект «Конференция» (v0.1.0)</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25. Задача (issue) для выбранной функции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задачи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Issues → открытая задача с описанием отчёта «список рассылки по организациям».</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Заголовок задачи, описание, критерии готовности, метку и номер задачи.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25 — Задача (issue) для выбранной функции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26. История коммитов ветки функции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результата команды git log --oneline --graph --decorate -15 в терминале.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Три осмысленных коммита с префиксами feat/test/docs и понятными сообщениями, а также метку ветки feature/1-mailing-list.</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26 — История коммитов ветки функции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27. Запрос на слияние с пройденными проверками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Pull Request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Pull requests → выбранный PR.</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Заголовок PR, описание со ссылкой Closes #N, зелёные отметки проверок CI и вкладку Files changed с перечнем изменённых файлов.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27 — Запрос на слияние с пройденными проверками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28. Результат слияния в ветке main</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вкладки Actions с успешно выполненным конвейером и/или графа коммитов main после слияния.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Actions (успешный запуск) либо граф коммитов (Insights → Network, GitLens в VS Code, git log).</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Зелёный статус конвейера и наличие коммита слияния в ветке main.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28 — Результат слияния в ветке main</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9. Моделирование и разрешение конфликта слияния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смоделировать и разрешить конфликт слияния.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9.1. Как конфликт был смоделирован.</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Конфликт слияния возникает, когда две ветки изменяют один и тот же фрагмент одного файла. Чтобы получить конфликт предсказуемо, были созданы две ветки от одной точки, каждая из которых меняла одну и ту же строку SECTION_CAPACITY в файле .env.example: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Ветка A: 5 мест в секции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-c chore/2-capacity-a</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 .env.example: SECTION_CAPACITY=5</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"chore(config): поднять вместимость секции до 5 мест"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Ветка B: 4 места в той же строке</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-c chore/3-capacity-b</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 .env.example: SECTION_CAPACITY=4</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"chore(config): увеличить вместимость секции до 4 мест"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Ветка A была слита в main. После этого попытка слить ветку B дала конфликт: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merge --no-ff chore/3-capacity-b</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Auto-merging .env.example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CONFLICT (content): Merge conflict in .env.example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Automatic merge failed; fix conflicts and then commit the result.</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status --short</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UU .env.example</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9.2. Как конфликт был разрешён.</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Git пометил конфликтный фрагмент маркерами: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Максимальное число участников в одной секции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&lt;&lt;&lt;&lt;&lt;&lt;&lt; HEAD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SECTION_CAPACITY=5</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SECTION_CAPACITY=4</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&gt;&gt;&gt;&gt;&gt;&gt;&gt; chore/3-capacity-b</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Порядок разрешения: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определено, какое значение является правильным (вместимость 5 мест — секция рассчитана на пять участников);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маркеры конфликта и лишний вариант удалены, оставлена одна строка SECTION_CAPACITY=5;</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проверено, что не потеряны изменения, которые должны были сохраниться из обеих ветвей;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выполнен поиск оставшихся маркеров конфликта, чтобы ни один файл не остался неразрешённым;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выполнен полный набор проверок — слияние могло сломать код;</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результат зафиксирован коммитом слияния.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Проверка, что маркеров конфликта не осталось</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diff --check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Select-String -Path .env.example -Pattern '&lt;&lt;&lt;&lt;&lt;&lt;&lt;|=======|&gt;&gt;&gt;&gt;&gt;&gt;&gt;'</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Обязательная проверка после разрешения конфликта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verify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32 files already formatted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All checks passed!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55 passed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Фиксация результата слияния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add .env.example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"merge: разрешить конфликт вместимости секции (оставлено 5 мест)"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push</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9.3. Разрешение конфликта в Visual Studio Code.</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Помимо командной строки конфликт разрешался и в редакторе: Visual Studio Code подсвечивает конфликтные файлы в панели Source Control и предлагает для каждой группы маркеров действия Accept Current Change, Accept Incoming Change, Accept Both Changes и Compare Changes. После выбора варианта файл добавляется в индекс (кнопка «+») и фиксируется коммитом. Если изменение не требуется, слияние можно полностью отменить командой git merge --abort.</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29. Возникший конфликт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сообщением CONFLICT (content): Merge conflict in app/__init__.py и/или скриншот панели Source Control в Visual Studio Code с файлом в состоянии конфликта.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после команды git merge feature/version-b; либо панель Source Control (Ctrl+Shift+G) в VS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Сообщение о конфликте и имя конфликтного файла.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29 — Возникший конфликт слияния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30. Маркеры конфликта в файле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.env.example в Visual Studio Code с видимыми маркерами &lt;&lt;&lt;&lt;&lt;&lt;&lt;, =======, &gt;&gt;&gt;&gt;&gt;&gt;&gt; и подсказками Accept Current / Incoming Change.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Редактор Visual Studio Code, файл .env.example (строка SECTION_CAPACITY).</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Обе конфликтующие версии строки вместимости секции и панель выбора варианта разрешения.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30 — Маркеры конфликта в файле</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31. Разрешённый конфликт и коммит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 git status после git add и git log --oneline --graph -5 после коммита слияния.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Отсутствие неразрешённых файлов, итоговую строку «nothing to commit, working tree clean» и коммит с сообщением «merge: разрешить конфликт вместимости секции (оставлено 5 мест)».</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31 — Разрешённый конфликт и коммит слияния</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10. Тег первой версии v0.1.0</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создать тег первой версии v0.1.0.</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После слияния всех изменений в main и успешного прохождения проверок создан аннотированный тег первой версии. Аннотированный тег хранит автора, дату и сообщение, поэтому он пригоден как отметка релиза.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pull --ff-only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verify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tag -a v0.1.0 -m "Первая версия: участники, заявки, оргвзносы, тезисы,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гостиница, приглашения, отчёты"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push origin v0.1.0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tag -n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v0.1.0          Первая версия: участники, заявки, оргвзносы, тезисы,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гостиница, приглашения, отчёты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show v0.1.0 --stat</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Версия приложения синхронизирована с тегом: значение __version__ в app/__init__.py равно 0.1.0 и совпадает со значением version в pyproject.toml. То же значение возвращает служебный адрес /version и указывается в схеме OpenAPI, поэтому версию работающего приложения можно проверить в любой момент.</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32. Созданный тег v0.1.0</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результата команд git tag -n и git show v0.1.0 --stat в терминале.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Строку с тегом v0.1.0, его сообщение и перечень файлов, вошедших в версию.</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32 — Созданный тег v0.1.0</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33. Тег в удалённом репозитории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тегов (или Releases)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Code → Tags либо Releases → Tags.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Тег v0.1.0 с датой создания, привязанный к коммиту в ветке main.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33 — Тег в удалённом репозитории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34. Версия приложения в работающем сервисе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ответа адреса http://127.0.0.1:8000/version или страницы http://127.0.0.1:8000/docs.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или терминал (curl http://127.0.0.1:8000/version).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Значение version = 0.1.0, совпадающее с тегом релиза.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34 — Версия приложения в работающем сервисе</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11. Правила внесения изменений: проверки, запреты, порядок приёмки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зафиксировать в README или отдельном документе правила внесения изменений: обязательные команды проверки, запрещённые действия и порядок приёмки.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Правила зафиксированы в отдельном документе CONTRIBUTING.md, краткая выжимка и ссылка на него добавлены в README.md, а пошаговое руководство по Git-процессу вынесено в docs/GIT_WORKFLOW.md.</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11.1. Путь изменения.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задача -&gt; ветка -&gt; изменение кода -&gt; локальные проверки -&gt; Git -&gt; CI -&gt;</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образ -&gt; CD -&gt; проверка релиза -&gt; наблюдение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Ни один шаг не пропускается. Любое изменение рассматривается как потенциально ошибочное независимо от того, кем оно создано: участником команды, преподавателем или средствами автоматической генерации кода. Ни один способ создания кода не освобождает изменение от обязательных проверок.</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11.2. Обязательные команды проверки.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200"/>
        <w:gridCol w:w="3200"/>
        <w:gridCol w:w="3600"/>
      </w:tblGrid>
      <w:tr>
        <w:trPr>
          <w:tblHeader/>
        </w:trPr>
        <w:tc>
          <w:tcPr>
            <w:tcW w:w="2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Шаг</w:t>
            </w:r>
          </w:p>
        </w:tc>
        <w:tc>
          <w:tcPr>
            <w:tcW w:w="3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Команда</w:t>
            </w:r>
          </w:p>
        </w:tc>
        <w:tc>
          <w:tcPr>
            <w:tcW w:w="3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проверяется</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ruff format --check .</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единый формат кода</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2</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ruff check .</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статический анализ, потенциальные дефекты</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pytest -q</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55 автоматических тестов, включая все правила предметной области</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python -m scripts.smoke</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приложение поднимается и отвечает на ключевые адреса</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Все шаги сразу</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verify  (или make verify)</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полный набор локальных проверок перед коммитом</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Дополнительно при работе с БД</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migrate</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схема создаётся без ошибок</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Дополнительно при работе с контейнерами</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up; .\scripts\dev.ps1 container-check</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контейнер поднимается и отвечает на /health</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Та же команда verify используется локально и в конвейере CI, поэтому локальный результат и результат автоматической проверки совпадают: разницы между «у меня работает» и «в CI работает» не возникает.</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11.3. Запрещённые действия.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пушить напрямую в main и вливать запрос на слияние без пройденного CI;</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коммитить секреты: файл .env, пароли, токены, ключи, строки подключения с паролем;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коммитить локальные и сгенерированные файлы: data/, backups/, .venv/, __pycache__/, *.db, журналы;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удалять или отключать тесты, снижать пороги качества, ослаблять или отключать шаги CI только ради прохождения проверки;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добавлять отключения анализа без обоснования, исключать каталоги из проверок;</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переписывать историю общей ветки, форс-пушить в main, удалять теги релизов;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коммитить код, который не проходит полный набор локальных проверок.</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11.4. Особый контроль критических файлов приёмки.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Файлы, определяющие, что считается правильным, выделены в отдельную категорию: конфигурация CI (.github/workflows/ci.yml), единый командный интерфейс (Makefile, scripts/dev.ps1), скрипты проверок (scripts/smoke.py, scripts/container_check.py), настройка тестов (tests/conftest.py), правила анализа (pyproject.toml) и среда эксплуатации (Dockerfile, docker-compose.yml). Их изменения обязаны быть видны в запросе на слияние, не могут ослаблять проверки и проверяются отдельно.</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11.5. Порядок приёмки.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400"/>
        <w:gridCol w:w="2400"/>
        <w:gridCol w:w="4200"/>
      </w:tblGrid>
      <w:tr>
        <w:trPr>
          <w:tblHeader/>
        </w:trPr>
        <w:tc>
          <w:tcPr>
            <w:tcW w:w="2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Этап</w:t>
            </w:r>
          </w:p>
        </w:tc>
        <w:tc>
          <w:tcPr>
            <w:tcW w:w="2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Кто выполняет</w:t>
            </w:r>
          </w:p>
        </w:tc>
        <w:tc>
          <w:tcPr>
            <w:tcW w:w="4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проверяется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Автоматическая приёмка</w:t>
            </w:r>
          </w:p>
        </w:tc>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Actions</w:t>
            </w:r>
          </w:p>
        </w:tc>
        <w:tc>
          <w:tcPr>
            <w:tcW w:w="4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форматирование, статический анализ, тесты, дымовая проверка, применение схемы БД, сборка образа и проверка /health в контейнере</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Организационная приёмка (review)</w:t>
            </w:r>
          </w:p>
        </w:tc>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второй участник команды или преподаватель</w:t>
            </w:r>
          </w:p>
        </w:tc>
        <w:tc>
          <w:tcPr>
            <w:tcW w:w="4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соответствие задаче и правилам предметной области, наличие тестов, отсутствие секретов, актуальность документации, читаемость кода, осмысленность коммитов</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Финальная приёмка</w:t>
            </w:r>
          </w:p>
        </w:tc>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преподаватель</w:t>
            </w:r>
          </w:p>
        </w:tc>
        <w:tc>
          <w:tcPr>
            <w:tcW w:w="4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живая демонстрация приложения и контрольное изменение: путь от задачи до тега, объяснение правил, проведение небольшого изменения через ветку и запрос на слияние, доказательство того, что секреты и локальные файлы не попадают в репозиторий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11.6. Шаблон сообщений коммитов.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Принят формат Conventional Commits с типами feat, fix, docs, test, refactor, chore, ci. Сообщение должно отвечать на вопрос «что сделано», а не «что я делал». Примеры осмысленной истории коммитов одной функции приведены в разделе 8 отчёта. Сообщения вида «fix», «update», «правки» запрещены.</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35. Документ с правилами внесения изменений</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CONTRIBUTING.md (на GitHub или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Корень проекта, файл CONTRIBUTING.md.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Разделы «Обязательные команды локальной проверки», «Запрещённые действия» и «Порядок приёмки».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35 — Документ с правилами внесения изменений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36. Конвейер CI в действии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GitHub Actions с успешно выполненным конвейером.</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Actions → последний запуск workflow «CI».</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Две группы заданий — «Локальные проверки и тесты» и «Сборка и проверка контейнера» — с зелёными отметками и списком выполненных шагов.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36 — Конвейер CI в действии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37. Доказательство того, что секреты не попадают в репозиторий</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 git check-ignore -v .env и git ls-files.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Строку .gitignore:2:.env    .env (файл игнорируется) и список отслеживаемых файлов, в котором есть только .env.example и нет ни .env, ни *.db, ни каталогов data/ и backups/.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37 — Доказательство того, что секреты не попадают в репозиторий</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Заключение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ходе лабораторной работы №1 разработан сквозной проект «Конференция» — система учёта участников конференции, приглашений, заявок, оргвзносов, тезисов и потребности в гостинице, пригодная для формирования очередей рассылки и отчётности.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Выполнены все одиннадцать заданий. Выбрана и согласована предметная область; сформулированы назначение системы, категории пользователей, основные сценарии и пятнадцать обязательных правил работы. Составлено техническое задание по ГОСТ 19.201-78. Разработано работоспособное приложение с HTTP API, реляционной базой данных и веб-интерфейсом: реализовано девять связанных сущностей, полный набор операций и содержательные правила предметной области — вместимость секции, автоматические последствия принятия заявки, срок подтверждения брони гостиницы, порог принятия тезисов и правила возврата оргвзноса.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Добавлена обработка некорректных запросов с единым форматом ответа об ошибке, конфигурация через переменные окружения, служебный адрес проверки работоспособности и журнал значимых действий. Создан удалённый Git-репозиторий с README, .gitignore, .env.example, описанием API и схемой данных. Функция учёта гостиницы проведена через полный цикл: задача, отдельная ветка, четыре осмысленных коммита, запрос на слияние и автоматическая проверка изменений. Смоделирован и разрешён конфликт слияния. Создан тег первой версии v0.1.0. Зафиксированы правила внесения изменений: обязательные команды проверки, запрещённые действия и порядок приёмки.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Качество подтверждено измеримыми результатами: 55 автоматических тестов проходят, статический анализ и проверка форматирования не выявляют замечаний, дымовая проверка приложения успешна, конвейер CI зелёный по обеим группам заданий. Единый командный интерфейс (make verify или .\scripts\dev.ps1 verify) объединяет все обязательные проверки, поэтому локальный результат и результат автоматической проверки совпадают.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Дальнейшее развитие проекта: подключение Alembic для версионирования схемы базы данных, переход от учебной имитации отправки приглашений к реальной рассылке, добавление аутентификации с разграничением прав по ролям, экспорт отчётов в форматы xlsx и pdf, а также расширение набора проверок (покрытие кода тестами, проверка уязвимостей зависимостей).</w:t>
      </w: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Список использованных источников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 ГОСТ 19.201-78. Единая система программной документации. Техническое задание. Требования к содержанию и оформлению. — М.: Издательство стандартов, 1978.</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2. ГОСТ 34.601-90. Комплекс стандартов на автоматизированные системы. Автоматизированные системы. Стадии создания. — М.: Издательство стандартов, 1991.</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3. ГОСТ 24.701-86. Единая система стандартов автоматизированных систем управления. Надёжность автоматизированных систем управления. Основные положения. — М.: Издательство стандартов, 1987. — 17 с.</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4.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5. 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Стандартинформ, 2016.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6. ISO/IEC 25010:2011. Systems and software engineering — Systems and software Quality Requirements and Evaluation (SQuaRE) — System and software quality models.</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7. Документация FastAPI. Режим доступа: https://fastapi.tiangolo.com/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8. Документация SQLAlchemy 2.0. Режим доступа: https://docs.sqlalchemy.org/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9. Документация Pydantic v2. Режим доступа: https://docs.pydantic.dev/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10. Документация Docker Compose. Режим доступа: https://docs.docker.com/compose/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11. Pro Git book. Режим доступа: https://git-scm.com/book/ru/v2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12. Conventional Commits 1.0.0. Режим доступа: https://www.conventionalcommits.org/ru/ (дата обращения 15.01.2026).</w:t>
      </w:r>
    </w:p>
    <w:sectPr>
      <w:footerReference w:type="default" r:id="rId7"/>
      <w:footerReference w:type="firs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020DC" w14:textId="77777777" w:rsidR="00564F49" w:rsidRDefault="00564F49" w:rsidP="00083343">
      <w:pPr>
        <w:spacing w:after="0" w:line="240" w:lineRule="auto"/>
      </w:pPr>
      <w:r>
        <w:separator/>
      </w:r>
    </w:p>
  </w:endnote>
  <w:endnote w:type="continuationSeparator" w:id="0">
    <w:p w14:paraId="216E06F6" w14:textId="77777777" w:rsidR="00564F49" w:rsidRDefault="00564F49" w:rsidP="000833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9F656" w14:textId="5F13CD27" w:rsidR="00083343" w:rsidRDefault="00083343" w:rsidP="00083343">
    <w:pPr>
      <w:pStyle w:val="ae"/>
      <w:jc w:val="center"/>
    </w:pPr>
    <w:r>
      <w:t>Москва,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0D459" w14:textId="120F43C2" w:rsidR="00083343" w:rsidRDefault="00083343" w:rsidP="00083343">
    <w:pPr>
      <w:pStyle w:val="ae"/>
      <w:jc w:val="center"/>
    </w:pPr>
    <w:r>
      <w:t>Москва,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5E3B95" w14:textId="77777777" w:rsidR="00564F49" w:rsidRDefault="00564F49" w:rsidP="00083343">
      <w:pPr>
        <w:spacing w:after="0" w:line="240" w:lineRule="auto"/>
      </w:pPr>
      <w:r>
        <w:separator/>
      </w:r>
    </w:p>
  </w:footnote>
  <w:footnote w:type="continuationSeparator" w:id="0">
    <w:p w14:paraId="621AA3D0" w14:textId="77777777" w:rsidR="00564F49" w:rsidRDefault="00564F49" w:rsidP="000833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C1D"/>
    <w:rsid w:val="00083343"/>
    <w:rsid w:val="002412A4"/>
    <w:rsid w:val="00424C5B"/>
    <w:rsid w:val="00564F49"/>
    <w:rsid w:val="009E395B"/>
    <w:rsid w:val="00BE6D9B"/>
    <w:rsid w:val="00CA3C1D"/>
    <w:rsid w:val="00F800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32B7CB"/>
  <w15:chartTrackingRefBased/>
  <w15:docId w15:val="{76240885-A565-4D80-94CA-B37F9C3F6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3343"/>
  </w:style>
  <w:style w:type="paragraph" w:styleId="1">
    <w:name w:val="heading 1"/>
    <w:basedOn w:val="a"/>
    <w:next w:val="a"/>
    <w:link w:val="10"/>
    <w:uiPriority w:val="9"/>
    <w:qFormat/>
    <w:rsid w:val="00CA3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A3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A3C1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CA3C1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CA3C1D"/>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CA3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A3C1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A3C1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A3C1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A3C1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A3C1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A3C1D"/>
    <w:rPr>
      <w:rFonts w:asciiTheme="minorHAnsi" w:eastAsiaTheme="majorEastAsia" w:hAnsiTheme="minorHAnsi" w:cstheme="majorBidi"/>
      <w:color w:val="0F4761" w:themeColor="accent1" w:themeShade="BF"/>
      <w:sz w:val="28"/>
      <w:szCs w:val="28"/>
    </w:rPr>
  </w:style>
  <w:style w:type="character" w:customStyle="1" w:styleId="40">
    <w:name w:val="Заголовок 4 Знак"/>
    <w:basedOn w:val="a0"/>
    <w:link w:val="4"/>
    <w:uiPriority w:val="9"/>
    <w:semiHidden/>
    <w:rsid w:val="00CA3C1D"/>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CA3C1D"/>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CA3C1D"/>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CA3C1D"/>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CA3C1D"/>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CA3C1D"/>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CA3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A3C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A3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Подзаголовок Знак"/>
    <w:basedOn w:val="a0"/>
    <w:link w:val="a5"/>
    <w:uiPriority w:val="11"/>
    <w:rsid w:val="00CA3C1D"/>
    <w:rPr>
      <w:rFonts w:asciiTheme="minorHAnsi" w:eastAsiaTheme="majorEastAsia" w:hAnsiTheme="minorHAnsi" w:cstheme="majorBidi"/>
      <w:color w:val="595959" w:themeColor="text1" w:themeTint="A6"/>
      <w:spacing w:val="15"/>
      <w:sz w:val="28"/>
      <w:szCs w:val="28"/>
    </w:rPr>
  </w:style>
  <w:style w:type="paragraph" w:styleId="21">
    <w:name w:val="Quote"/>
    <w:basedOn w:val="a"/>
    <w:next w:val="a"/>
    <w:link w:val="22"/>
    <w:uiPriority w:val="29"/>
    <w:qFormat/>
    <w:rsid w:val="00CA3C1D"/>
    <w:pPr>
      <w:spacing w:before="160"/>
      <w:jc w:val="center"/>
    </w:pPr>
    <w:rPr>
      <w:i/>
      <w:iCs/>
      <w:color w:val="404040" w:themeColor="text1" w:themeTint="BF"/>
    </w:rPr>
  </w:style>
  <w:style w:type="character" w:customStyle="1" w:styleId="22">
    <w:name w:val="Цитата 2 Знак"/>
    <w:basedOn w:val="a0"/>
    <w:link w:val="21"/>
    <w:uiPriority w:val="29"/>
    <w:rsid w:val="00CA3C1D"/>
    <w:rPr>
      <w:i/>
      <w:iCs/>
      <w:color w:val="404040" w:themeColor="text1" w:themeTint="BF"/>
    </w:rPr>
  </w:style>
  <w:style w:type="paragraph" w:styleId="a7">
    <w:name w:val="List Paragraph"/>
    <w:basedOn w:val="a"/>
    <w:uiPriority w:val="34"/>
    <w:qFormat/>
    <w:rsid w:val="00CA3C1D"/>
    <w:pPr>
      <w:ind w:left="720"/>
      <w:contextualSpacing/>
    </w:pPr>
  </w:style>
  <w:style w:type="character" w:styleId="a8">
    <w:name w:val="Intense Emphasis"/>
    <w:basedOn w:val="a0"/>
    <w:uiPriority w:val="21"/>
    <w:qFormat/>
    <w:rsid w:val="00CA3C1D"/>
    <w:rPr>
      <w:i/>
      <w:iCs/>
      <w:color w:val="0F4761" w:themeColor="accent1" w:themeShade="BF"/>
    </w:rPr>
  </w:style>
  <w:style w:type="paragraph" w:styleId="a9">
    <w:name w:val="Intense Quote"/>
    <w:basedOn w:val="a"/>
    <w:next w:val="a"/>
    <w:link w:val="aa"/>
    <w:uiPriority w:val="30"/>
    <w:qFormat/>
    <w:rsid w:val="00CA3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A3C1D"/>
    <w:rPr>
      <w:i/>
      <w:iCs/>
      <w:color w:val="0F4761" w:themeColor="accent1" w:themeShade="BF"/>
    </w:rPr>
  </w:style>
  <w:style w:type="character" w:styleId="ab">
    <w:name w:val="Intense Reference"/>
    <w:basedOn w:val="a0"/>
    <w:uiPriority w:val="32"/>
    <w:qFormat/>
    <w:rsid w:val="00CA3C1D"/>
    <w:rPr>
      <w:b/>
      <w:bCs/>
      <w:smallCaps/>
      <w:color w:val="0F4761" w:themeColor="accent1" w:themeShade="BF"/>
      <w:spacing w:val="5"/>
    </w:rPr>
  </w:style>
  <w:style w:type="paragraph" w:styleId="ac">
    <w:name w:val="header"/>
    <w:basedOn w:val="a"/>
    <w:link w:val="ad"/>
    <w:uiPriority w:val="99"/>
    <w:unhideWhenUsed/>
    <w:rsid w:val="00083343"/>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83343"/>
  </w:style>
  <w:style w:type="paragraph" w:styleId="ae">
    <w:name w:val="footer"/>
    <w:basedOn w:val="a"/>
    <w:link w:val="af"/>
    <w:uiPriority w:val="99"/>
    <w:unhideWhenUsed/>
    <w:rsid w:val="00083343"/>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83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D1418-7A9F-4CD3-A5FD-050BB2649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Words>
  <Characters>323</Characters>
  <Application>Microsoft Office Word</Application>
  <DocSecurity>0</DocSecurity>
  <Lines>2</Lines>
  <Paragraphs>1</Paragraphs>
  <ScaleCrop>false</ScaleCrop>
  <Company/>
  <LinksUpToDate>false</LinksUpToDate>
  <CharactersWithSpaces>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Попиков</dc:creator>
  <cp:keywords/>
  <dc:description/>
  <cp:lastModifiedBy>Иван Попиков</cp:lastModifiedBy>
  <cp:revision>2</cp:revision>
  <dcterms:created xsi:type="dcterms:W3CDTF">2026-09-14T11:56:00Z</dcterms:created>
  <dcterms:modified xsi:type="dcterms:W3CDTF">2026-09-14T12:00:00Z</dcterms:modified>
</cp:coreProperties>
</file>