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w:body>
    <w:p>
      <w:pPr>
        <w:spacing w:before="0" w:after="0" w:line="360" w:lineRule="auto"/>
        <w:contextualSpacing/>
        <w:ind w:firstLine="0" w:left="0"/>
        <w:jc w:val="center"/>
        <w:rPr>
          <w:rFonts w:ascii="Times New Roman" w:hAnsi="Times New Roman" w:eastAsia="Times New Roman"/>
          <w:sz w:val="24"/>
          <w:szCs w:val="24"/>
        </w:rPr>
      </w:pPr>
      <w:r>
        <w:rPr>
          <w:rFonts w:ascii="Times New Roman" w:hAnsi="Times New Roman" w:cs="Times New Roman" w:eastAsia="Times New Roman"/>
          <w:sz w:val="24"/>
          <w:szCs w:val="24"/>
        </w:rPr>
        <w:t xml:space="preserve">МИНИСТЕРСТВО НАУКИ И ВЫСШЕГО ОБРАЗОВАНИЯ РОССИЙСКОЙ ФЕДЕРАЦИИ</w:t>
      </w:r>
    </w:p>
    <w:p>
      <w:pPr>
        <w:spacing w:before="0" w:after="0" w:line="360" w:lineRule="auto"/>
        <w:contextualSpacing/>
        <w:ind w:firstLine="0" w:left="0"/>
        <w:jc w:val="center"/>
        <w:rPr>
          <w:rFonts w:ascii="Times New Roman" w:hAnsi="Times New Roman" w:eastAsia="Times New Roman"/>
          <w:sz w:val="24"/>
          <w:szCs w:val="24"/>
        </w:rPr>
      </w:pPr>
      <w:r>
        <w:rPr>
          <w:rFonts w:ascii="Times New Roman" w:hAnsi="Times New Roman" w:cs="Times New Roman" w:eastAsia="Times New Roman"/>
          <w:sz w:val="24"/>
          <w:szCs w:val="24"/>
        </w:rPr>
        <w:t xml:space="preserve">ФЕДЕРАЛЬНОЕ ГОСУДАРСТВЕННОЕ АВТОНОМНОЕ ОБРАЗОВАТЕЛЬНОЕ УЧРЕЖДЕНИЕ ВЫСШЕГО ОБРАЗОВАНИЯ</w:t>
      </w:r>
    </w:p>
    <w:p>
      <w:pPr>
        <w:spacing w:before="0" w:after="0" w:line="360" w:lineRule="auto"/>
        <w:contextualSpacing/>
        <w:ind w:firstLine="0" w:left="0"/>
        <w:jc w:val="center"/>
        <w:rPr>
          <w:rFonts w:ascii="Times New Roman" w:hAnsi="Times New Roman" w:eastAsia="Times New Roman"/>
          <w:b/>
          <w:sz w:val="24"/>
          <w:szCs w:val="24"/>
        </w:rPr>
      </w:pPr>
      <w:r>
        <w:rPr>
          <w:rFonts w:ascii="Times New Roman" w:hAnsi="Times New Roman" w:cs="Times New Roman" w:eastAsia="Times New Roman"/>
          <w:b/>
          <w:sz w:val="24"/>
          <w:szCs w:val="24"/>
        </w:rPr>
        <w:t xml:space="preserve">«МОСКОВСКИЙ ПОЛИТЕХНИЧЕСКИЙ УНИВЕРСИТЕТ»</w:t>
      </w:r>
    </w:p>
    <w:p>
      <w:pPr>
        <w:spacing w:before="0" w:after="0" w:line="360" w:lineRule="auto"/>
        <w:contextualSpacing/>
        <w:ind w:firstLine="0" w:left="0"/>
        <w:jc w:val="center"/>
        <w:rPr>
          <w:rFonts w:ascii="Times New Roman" w:hAnsi="Times New Roman" w:eastAsia="Times New Roman"/>
          <w:b/>
          <w:sz w:val="24"/>
          <w:szCs w:val="24"/>
        </w:rPr>
      </w:pPr>
      <w:r>
        <w:rPr>
          <w:rFonts w:ascii="Times New Roman" w:hAnsi="Times New Roman" w:cs="Times New Roman" w:eastAsia="Times New Roman"/>
          <w:b/>
          <w:sz w:val="24"/>
          <w:szCs w:val="24"/>
        </w:rPr>
        <w:t xml:space="preserve">(МОСКОВСКИЙ ПОЛИТЕХ)</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Отчёт по лабораторной работе №1</w:t>
      </w: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по дисциплине «Методология и практики DevOps»</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Тема: «Конференция»</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Выполнил:</w:t>
      </w: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студент группы 241-372</w:t>
      </w:r>
    </w:p>
    <w:p>
      <w:pPr>
        <w:spacing w:before="0" w:after="0" w:line="360" w:lineRule="auto"/>
        <w:contextualSpacing/>
        <w:ind w:firstLine="0" w:left="510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Попиков И.А.</w:t>
      </w: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both"/>
        <w:rPr>
          <w:rFonts w:ascii="Times New Roman" w:hAnsi="Times New Roman" w:eastAsia="Times New Roman"/>
          <w:sz w:val="28"/>
          <w:szCs w:val="28"/>
        </w:rPr>
      </w:pPr>
    </w:p>
    <w:p>
      <w:pPr>
        <w:spacing w:before="0" w:after="0" w:line="360" w:lineRule="auto"/>
        <w:contextualSpacing/>
        <w:ind w:firstLine="0" w:left="0"/>
        <w:jc w:val="center"/>
        <w:rPr>
          <w:rFonts w:ascii="Times New Roman" w:hAnsi="Times New Roman" w:eastAsia="Times New Roman"/>
          <w:sz w:val="28"/>
          <w:szCs w:val="28"/>
        </w:rPr>
      </w:pPr>
      <w:r>
        <w:rPr>
          <w:rFonts w:ascii="Times New Roman" w:hAnsi="Times New Roman" w:cs="Times New Roman" w:eastAsia="Times New Roman"/>
          <w:sz w:val="28"/>
          <w:szCs w:val="28"/>
        </w:rPr>
        <w:t xml:space="preserve">Москва, 2026</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Содержание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Введение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 Выбор предметной области и согласование темы</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2. Назначение системы, категории пользователей, сценарии и правила</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3. Техническое задание по ГОСТ</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4. Работоспособное приложение с HTTP API, базой данных и веб-интерфейсом</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5. Связанные сущности, основные операции и правила предметной области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6. Обработка некорректных запросов, конфигурация и проверка работоспособности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7. Удалённый Git-репозиторий, README, .gitignore, .env.example, описание API и схема данных</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8. Выполнение функции через задачу, ветку, коммиты, запрос на слияние и проверку</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9. Моделирование и разрешение конфликта слияния</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10. Тег первой версии v0.1.0</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11. Правила внесения изменений: проверки, запреты, порядок приёмки</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Заключение</w:t>
      </w:r>
    </w:p>
    <w:p>
      <w:pPr>
        <w:spacing w:before="0" w:after="0" w:line="300" w:lineRule="auto"/>
        <w:contextualSpacing/>
        <w:ind w:firstLine="0" w:left="0"/>
        <w:jc w:val="left"/>
        <w:rPr>
          <w:rFonts w:ascii="Times New Roman" w:hAnsi="Times New Roman" w:eastAsia="Times New Roman"/>
          <w:sz w:val="28"/>
          <w:szCs w:val="28"/>
        </w:rPr>
      </w:pPr>
      <w:r>
        <w:rPr>
          <w:rFonts w:ascii="Times New Roman" w:hAnsi="Times New Roman" w:cs="Times New Roman" w:eastAsia="Times New Roman"/>
          <w:sz w:val="28"/>
          <w:szCs w:val="28"/>
        </w:rPr>
        <w:t xml:space="preserve">Список использованных источников</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Введение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течение семестра команда разрабатывает и сопровождает собственное приложение. Оценивается не только работоспособность исходного кода, но и автоматизация процесса, в рамках которого изменение создаётся, проверяется, собирается, доставляется и эксплуатируется.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Лабораторная работа №1 «Сквозной проект и Git-процесс» задаёт основу этого процесса: выбор предметной области, формулирование требований, создание работающего приложения с HTTP API и реляционной базой данных, организацию Git-процесса и фиксацию единых правил внесения и приёмки изменений.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Предметная область проекта — организация конференции. Разработанная система «Конференция» обеспечивает учёт участников конференции, приглашений, заявок, оргвзносов, тезисов и потребности в гостинице. Система ориентирована на оргкомитет конференции и пригодна для формирования очередей рассылки и отчётности.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отчёте последовательно описано выполнение всех одиннадцати заданий лабораторной работы. По каждому заданию указано, что именно сделано, какие файлы проекта это реализуют, какие команды выполнялись и какие результаты получены. В местах, где по логике изложения требуются подтверждающие материалы, приведены врезки «Рисунок N» с точным указанием, что следует сфотографировать, где это находится и что должно быть видно на снимке.</w:t>
      </w: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 Выбор предметной области и согласование 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выбрать предметную область приложения и согласовать тему с преподавателем.</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Выбрана предметная область «организация научной конференции». Тема проекта согласована с преподавателем в следующей формулировке:</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Проект — Конференция.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Краткое описание — учёт участников конференции, приглашений, заявок, оргвзносов, тезисов и потребности в гостинице. Подходит для очередей рассылки и отчётов.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Основные сущности — участники; приглашения; заявки; оргвзносы; тезисы; гостиница.</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Обоснование выбора.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Предметная область удовлетворяет требованиям задания по следующим причинам: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содержит не менее трёх связанных сущностей — фактически реализовано девять таблиц с внешними ключами;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имеет естественные ограничения и содержательные правила: вместимость секции, жизненный цикл заявки, срок подтверждения брони гостиницы, порог принятия тезисов;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подразумевает разнородные отчёты: очередь рассылки приглашений, сводка по оргвзносам, потребность в размещении участников;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позволяет наглядно продемонстрировать полный цикл обработки данных: от подачи заявки до заселения в гостиницу.</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Состав команды: 1 человек — Попиков И.А., группа 241-372 (допускается команда от 1 до 3 человек).</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 Согласование темы проекта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переписки с преподавателем либо страницы выданного задания, где видна согласованная формулировка темы «Конференция» и перечень основных сущностей.</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Личный кабинет / почта / чат с преподавателем.</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проекта и подтверждение согласования (сообщение преподавателя). Персональные данные третьих лиц можно замазать.</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 — Согласование темы проекта</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2. Назначение системы, категории пользователей, сценарии и правила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сформулировать назначение системы, категории пользователей, основные сценарии и обязательные правила её работы.</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2.1. Назначение системы.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Система «Конференция» автоматизирует работу оргкомитета конференции. Она сводит в единое информационное пространство весь путь участника — от подачи заявки до заселения в гостиницу — и предоставляет оргкомитету отчётность, необходимую для планирования рассылки приглашений, контроля оргвзносов и расчёта потребности в местах размещения.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2.2. Категории пользователей.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600"/>
        <w:gridCol w:w="6400"/>
      </w:tblGrid>
      <w:tr>
        <w:trPr>
          <w:tblHeader/>
        </w:trPr>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Роль</w:t>
            </w:r>
          </w:p>
        </w:tc>
        <w:tc>
          <w:tcPr>
            <w:tcW w:w="6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Возможности в системе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Организатор (администратор)</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создаёт конференции и секции, ведёт реестр участников, принимает решения по заявкам, контролирует оргвзносы, формирует очередь рассылки приглашений, оформляет и подтверждает брони гостиницы, получает сводные отчёты</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 (слушатель)</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регистрируется в системе, создаёт и подаёт заявку на участие в секции, указывает потребность в гостинице, оплачивает оргвзнос</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Докладчик</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обладает возможностями участника и дополнительно подаёт тезисы доклада по принятой заявке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Рецензент</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получает тезисы на рецензию, выставляет оценку от 1 до 10 и комментарий, по оценке система принимает решение о публикации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2.3. Основные сценарии работы.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1. Подготовка конференции. Организатор создаёт конференцию с названием, датами, местом проведения и размером оргвзноса, затем открывает тематические секции с ограниченной вместимостью.</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2. Подача заявки. Участник создаёт заявку: выбирает секцию, указывает тему, аннотацию, формат участия (очный, дистанционный, стендовый) и потребность в гостинице. Заявка сохраняется черновиком, затем подаётся на рассмотрение.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3. Рассмотрение заявки. Организатор принимает или отклоняет заявку с обязательным комментарием. При принятии система автоматически начисляет оргвзнос и ставит приглашение в очередь рассылки.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4. Оплата оргвзноса. Организатор регистрирует оплату взноса с указанием платёжной ссылки; при отказе участника оформляет возврат.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5. Работа с тезисами. Докладчик добавляет тезисы по принятой заявке. Рецензент выставляет оценку; при оценке не ниже 6 баллов тезисы принимаются к публикации.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6. Размещение в гостинице. Организатор оформляет потребность в проживании с указанием числа гостей и дат. Бронь необходимо подтвердить в установленный срок.</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Сценарий 7. Рассылка и отчётность. Организатор выгружает очередь неотправленных приглашений и формирует сводный отчёт по конференции.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2.4. Обязательные правила работы системы.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сформулированы как требования предметной области, реализованы в модуле бизнес-логики и проверяются автоматическими тестами.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600"/>
        <w:gridCol w:w="6300"/>
        <w:gridCol w:w="2100"/>
      </w:tblGrid>
      <w:tr>
        <w:trPr>
          <w:tblHeader/>
        </w:trPr>
        <w:tc>
          <w:tcPr>
            <w:tcW w:w="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w:t>
            </w:r>
          </w:p>
        </w:tc>
        <w:tc>
          <w:tcPr>
            <w:tcW w:w="6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Правило</w:t>
            </w:r>
          </w:p>
        </w:tc>
        <w:tc>
          <w:tcPr>
            <w:tcW w:w="2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ошибки при нарушении</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Жизненный цикл заявки: черновик → подана → принята или отклонена; отзыв возможен из черновика, поданной и принятой заявки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invalid_status_transition</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 заявок возможен только по активной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conference_inactive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 заявки возможен только в открытую секцию</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section_closed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Число заявок в секции не превышает её вместимость; место освобождается при отклонении или отзыве заявки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section_capacity_exceeded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Один участник — одна заявка в конкретной секции конкретной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application_duplicate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6</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 принятии заявки автоматически начисляется оргвзнос в размере взноса конференции и создаётся приглашение в очереди рассылки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7</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 нельзя оплатить дважды и нельзя оплатить отменённый или возвращённый взнос</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fee_already_paid, fee_not_payable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8</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Возврат возможен только для оплаченного взноса и только по отозванной или отклонённой заявке</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fee_not_paid, refund_not_allowed_for_status</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9</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 принимаются только по принятой заявке и в пределах допустимого размера файла</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thesis_requires_accepted_application</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10</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 принимаются при оценке рецензента не ниже 6 баллов из 10</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11</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Дистанционному участнику гостиница не предоставляется</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hotel_not_allowed_for_online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12</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Даты проживания должны укладываться в даты проведения конференции</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hotel_dates_out_of_conference</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13</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Одна активная бронь на одну заявку</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hotel_booking_exists</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14</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Бронь, не подтверждённая в установленный срок (по умолчанию 48 часов), не может быть подтверждена</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hotel_confirmation_expired</w:t>
            </w:r>
          </w:p>
        </w:tc>
      </w:tr>
      <w:tr>
        <w:tc>
          <w:tcPr>
            <w:tcW w:w="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15</w:t>
            </w:r>
          </w:p>
        </w:tc>
        <w:tc>
          <w:tcPr>
            <w:tcW w:w="6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 отзыве заявки активная бронь отменяется, неоплаченный оргвзнос отменяется</w:t>
            </w:r>
          </w:p>
        </w:tc>
        <w:tc>
          <w:tcPr>
            <w:tcW w:w="2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Реализация правил.</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сосредоточены в модуле app/services.py. Роутеры HTTP-слоя только принимают запрос, вызывают соответствующую функцию сервиса и преобразуют исключение DomainError в ответ HTTP 409 с машиночитаемым кодом правила. Базовые инварианты (уникальность, ссылочная целостность, диапазоны значений) дополнительно закреплены ограничениями базы данных.</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 Список обязательных правил в файле app/services.py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фрагмента файла app/services.py в Visual Studio Code, где видны словарь ALLOWED_TRANSITIONS с допустимыми переходами статусов заявки и функции assert_section_has_free_seats, decide_application.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Файл app/services.py — вторая-третья сотня строк файла.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Имена функций и словарь переходов, а также номера строк в левой части редактора.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 — Список обязательных правил в файле app/services.py</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3. Техническое задание по ГОСТ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составить техническое задание по ГОСТ (например, описание: функции, сущности, связи, ограничения, ошибки и требования к хранению данных).</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Разработано техническое задание на программу в соответствии с ГОСТ 19.201-78 «Единая система программной документации. Техническое задание. Требования к содержанию и оформлению». Документ оформлен отдельным файлом и содержит полный набор обязательных разделов: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600"/>
        <w:gridCol w:w="6400"/>
      </w:tblGrid>
      <w:tr>
        <w:trPr>
          <w:tblHeader/>
        </w:trPr>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Раздел ТЗ</w:t>
            </w:r>
          </w:p>
        </w:tc>
        <w:tc>
          <w:tcPr>
            <w:tcW w:w="6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Содержание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 Общие положения</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наименование программы (полное и краткое), краткая характеристика области применения</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 Основания для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образовательная программа, учебный план и рабочая программа дисциплины</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 Назначение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функциональное назначение (учёт участников, заявок, оргвзносов, тезисов, гостиницы, приглашений и отчётность) и эксплуатационное назначение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 Требования к программе</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состав выполняемых функций; организация входных и выходных данных; временные характеристики; требования к надёжности; условия эксплуатации; требования к составу и параметрам технических средств; специальные требования</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 Требования к программной документации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программных документов (ТЗ, программа и методика испытаний, руководство пользователя, руководство администратора, описание программы и др.)</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6. Стадии и этапы разработки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предпроектная, проектная и эксплуатационная стадии с перечнем этапов и содержанием работ</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7. Порядок контроля и приёмки</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приёмо-сдаточные испытания по программе и методике испытаний, протокол испытаний, акт приёмки-сдачи, обязательная живая демонстрация и контрольное изменение в Git-процессе</w:t>
            </w:r>
          </w:p>
        </w:tc>
      </w:tr>
      <w:tr>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Список использованных источников</w:t>
            </w:r>
          </w:p>
        </w:tc>
        <w:tc>
          <w:tcPr>
            <w:tcW w:w="6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 19.201-78, ГОСТ 34.601-90, ГОСТ 24.701-86, ГОСТ 7.32-2017, ГОСТ Р 7.0.97-2016, документация FastAPI и SQLAlchemy</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техническом задании отдельно описаны: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функции программы — перечень операций по каждой сущности и правила их выполнения;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сущности и связи — девять таблиц (конференции, секции, участники, заявки, приглашения, оргвзносы, тезисы, брони гостиницы, журнал действий), связи «один ко многим» и «один к одному», каскадное удаление дочерних записей;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ограничения — уникальность (код конференции, e-mail участника, заявка участника в секции, одна бронь и одно приглашение на заявку), проверки CHECK на даты, суммы, оценку и число гостей, обязательность полей;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обработку ошибок — единый формат ответа об ошибке с кодом, сообщением и перечнем некорректных полей; коды HTTP 400, 404, 409, 422, 500;</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требования к хранению данных — реляционная база данных, ссылочная целостность, хранение времени в UTC, ведение журнала значимых действий, резервное копирование и восстановление, хранение секретов только в переменных окружения.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Готовый документ приложен к отчёту отдельным файлом: docs/ТЗ_Конференция_ГОСТ_19.201-78.docx.</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 Титульный лист технического задания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первой страницы файла docs/ТЗ_Конференция_ГОСТ_19.201-78.docx, открытого в Microsoft Word.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Файл docs/ТЗ_Конференция_ГОСТ_19.201-78.docx в папке проекта (или приложенный к отчёту).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Гриф «УТВЕРЖДЕН», обозначение документа, наименование программы, слово «Техническое задание», количество листов и год. Дополнительно можно сделать второй скриншот — лист утверждения с таблицей СОГЛАСОВАНО / УТВЕРЖДАЮ.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 — Титульный лист технического задания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4. Содержание технического задания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«СОДЕРЖАНИЕ» технического задания либо скриншот страницы раздела «4 ТРЕБОВАНИЯ К ПРОГРАММЕ» с подразделами 4.1–4.5.</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Тот же файл технического задания.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разделов 1–7 и списка источников, либо подразделы 4.1.1, 4.1.2, 4.1.3, 4.2–4.5 — чтобы было видно, что структура соответствует ГОСТ 19.201-78.</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4 — Содержание технического задания</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4. Работоспособное приложение с HTTP API, базой данных и веб-интерфейсом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разработать работоспособное приложение с HTTP API и реляционной базой данных. Веб-интерфейс обязателен.</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4.1. Выбранные технологии.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3300"/>
        <w:gridCol w:w="38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Компонент</w:t>
            </w:r>
          </w:p>
        </w:tc>
        <w:tc>
          <w:tcPr>
            <w:tcW w:w="3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Технология</w:t>
            </w:r>
          </w:p>
        </w:tc>
        <w:tc>
          <w:tcPr>
            <w:tcW w:w="38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Язык</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Python 3.11+</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реализация серверной части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 API</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FastAPI + Uvicorn</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маршруты, валидация, документация OpenAPI</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ORM</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SQLAlchemy 2.0</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модели, связи, ограничения, сессии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Валидация</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Pydantic v2</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схемы запросов и ответов</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СУБД</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SQLite (локально) / PostgreSQL 16 (в контейнерах)</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реляционное хранение данных</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Веб-интерфейс</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Jinja2 + ванильный JavaScript</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рабочая страница со вкладками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Контейнеризация</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Docker + Docker Compose</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единое окружение запуска</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Тесты</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pytest</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52 автоматических теста</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Качество кода</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форматирование и статический анализ</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CI</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Actions</w:t>
            </w:r>
          </w:p>
        </w:tc>
        <w:tc>
          <w:tcPr>
            <w:tcW w:w="3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автоматические проверки изменений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4.2. Структура проекта.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Проект имеет слоистую структуру: HTTP-слой не содержит бизнес-логики, правила предметной области вынесены в отдельный модуль, доступ к данным изолирован в моделях и сессиях.</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DevOps/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main.py            сборка приложения, обработчики ошибок, статика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config.py          конфигурация из переменных окружения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database.py        движок, сессии, создание схемы, PRAGMA foreign_keys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models.py          9 таблиц предметной области и связи между ними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schemas.py         схемы валидации и ответов API</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services.py        бизнес-правила предметной области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seed.py            администратор и демонстрационные данные</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web.py             страница веб-интерфейса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routers/           HTTP-маршруты (service, conferences, participants,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applications, workflow, reports)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templates/         HTML-шаблон 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static/            CSS и JavaScript интерфейса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scripts/             dev.ps1, migrate, backup, restore, smoke, container_check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tests/               conftest.py и 5 модулей тестов</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docs/                API.md, DATA_MODEL.md, GIT_WORKFLOW.md, DEFENSE_GUIDE.md, ТЗ</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.github/workflows/   ci.yml — автоматические проверки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Dockerfile, docker-compose.yml, Makefile, pyproject.toml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README.md, CONTRIBUTING.md, .env.example, .gitignore</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4.3. Запуск приложения.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операции выполняются едиными командами. В Windows используется скрипт scripts/dev.ps1 (полный аналог Makefile), при наличии GNU make — команды make с теми же именами.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Первоначальная настройка: виртуальное окружение, зависимости, .env</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setup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Создание схемы базы данных</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migrate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Запуск приложения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run        # http://127.0.0.1:8000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Запуск в контейнерах (приложение + PostgreSQL)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up</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container-check</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Адреса после запуска: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3400"/>
        <w:gridCol w:w="5600"/>
      </w:tblGrid>
      <w:tr>
        <w:trPr>
          <w:tblHeader/>
        </w:trPr>
        <w:tc>
          <w:tcPr>
            <w:tcW w:w="3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Адрес</w:t>
            </w:r>
          </w:p>
        </w:tc>
        <w:tc>
          <w:tcPr>
            <w:tcW w:w="5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веб-интерфейс со вкладками Сводка, Заявки, Оргвзносы, Приглашения, Гостиница, Тезисы</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http://127.0.0.1:8000/docs</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Swagger UI — интерактивная документация API</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http://127.0.0.1:8000/redoc</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ReDoc — альтернативное представление документации</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http://127.0.0.1:8000/openapi.json</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машиночитаемая схема OpenAPI</w:t>
            </w:r>
          </w:p>
        </w:tc>
      </w:tr>
      <w:tr>
        <w:tc>
          <w:tcPr>
            <w:tcW w:w="3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http://127.0.0.1:8000/health</w:t>
            </w:r>
          </w:p>
        </w:tc>
        <w:tc>
          <w:tcPr>
            <w:tcW w:w="5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служебный адрес проверки работоспособности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4.4. Состав HTTP API.</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API построено по принципу CRUD для каждой сущности, дополнено операциями жизненного цикла и отчётными методами. Полное описание приведено в файле docs/API.md, живая документация доступна на /docs.</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71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Группа методов</w:t>
            </w:r>
          </w:p>
        </w:tc>
        <w:tc>
          <w:tcPr>
            <w:tcW w:w="7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Методы</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Служебные</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/health, GET /version</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/api/v1/conferences; GET, PATCH, DELETE /api/v1/conferences/{id}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Секции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/api/v1/sections; GET, PATCH, DELETE /api/v1/sections/{id}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/api/v1/participants; GET, PATCH, DELETE /api/v1/participants/{id}; поиск по ФИО и e-mail, фильтр по роли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Заявки</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/api/v1/applications; PATCH, DELETE /api/v1/applications/{id}; POST /{id}/submit; POST /{id}/decision; POST /{id}/withdraw</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Приглашения</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/api/v1/invitations; POST /api/v1/invitations/{id}/send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/api/v1/fees; POST /api/v1/fees/{id}/pay; POST /api/v1/fees/{id}/refund</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/api/v1/theses; POST /api/v1/applications/{id}/theses; POST /api/v1/theses/{id}/review</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POST /api/v1/hotel-bookings; POST /api/v1/hotel-bookings/{id}/confirm; POST /api/v1/hotel-bookings/expire-stale</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Отчёты</w:t>
            </w:r>
          </w:p>
        </w:tc>
        <w:tc>
          <w:tcPr>
            <w:tcW w:w="7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GET /api/v1/reports/conference/{id}; GET /api/v1/reports/invitations-queue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4.5. Работа с базой данных.</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Схема создаётся командой .\scripts\dev.ps1 migrate. Локально используется файл SQLite data/conference.db, в контейнерном окружении — PostgreSQL 16 с томом db-data, поэтому данные сохраняются между перезапусками. Перед запуском приложения контейнер базы проходит проверку pg_isready, а приложение стартует только после её успешного завершения.</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5. Применение миграций и созданные таблицы</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окна терминала с результатом выполнения команды .\scripts\dev.ps1 migrate.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Строки вида «Созданы таблицы: applications, audit_log, conferences, fees, hotel_bookings, invitations, participants, sections, theses» и итоговую строку «Всего таблиц: 9».</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5 — Применение миграций и созданные таблицы</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6. Структура проекта в Visual Studio Code</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панели Explorer с раскрытыми каталогами app, app/routers, app/templates, scripts, tests, docs, .github/workflows.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Visual Studio Code, левая боковая панель Explorer.</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Слоистую структуру проекта: видно разделение на модели, схемы, сервисы, роутеры, шаблоны, тесты и инфраструктуру.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6 — Структура проекта в Visual Studio Code</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7. Запущенное приложение: главная страница веб-интерфейса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браузера с открытой страницей http://127.0.0.1:8000 через несколько секунд после запуска.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адресная строка http://127.0.0.1:8000.</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Шапку с названием «Конференция», вкладки Сводка, Заявки, Оргвзносы, Приглашения, Гостиница, Тезисы, блоки сводки с числами и индикатор версии и состояния базы данных в правом верхнем углу.</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7 — Запущенное приложение: главная страница веб-интерфейса</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8. Документация API (Swagger UI)</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адресная строка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«Конференция — API учёта участников», версию 0.1.0 и сгруппированный перечень методов: service, conferences, participants, applications, invitations, fees, theses, hotel, reports.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8 — Документация API (Swagger UI)</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4.6. Проверка работоспособности приложения.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Работоспособность подтверждена автоматическими тестами (52 теста, все проходят), скриптом дымовой проверки и ручной проверкой в браузере. Дымовая проверка запускает приложение и последовательно обращается к адресам /health, /version, /, /openapi.json и /api/v1/conferences.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&gt; .\scripts\dev.ps1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All checks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52 passed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/health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/version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/openapi.json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OK   /api/v1/conferences -&gt; HTTP 200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Дымовая проверка пройдена</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9. Результат полного набора локальных проверок</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команды .\scripts\dev.ps1 verify.</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Строки «All checks passed!», «32 files already formatted», «52 passed», перечень проверенных адресов и итоговую строку «Все проверки пройдены».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9 — Результат полного набора локальных проверок</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10. Ответ служебного адреса /health</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браузера со страницей http://127.0.0.1:8000/health (или результата команды curl http://127.0.0.1:8000/health).</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или терминал.</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JSON-ответ вида {"status":"ok","version":"0.1.0","database":"ok","app_env":"local","checked_at":"..."}.</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10 — Ответ служебного адреса /health</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5. Связанные сущности, основные операции и правила предметной области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реализовать не менее трёх связанных сущностей, основные операции и хотя бы одно содержательное правило предметной области.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5.1. Реализованные сущности.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Требование «не менее трёх связанных сущностей» перевыполнено: реализовано девять таблиц с внешними ключами. Ниже перечислены шесть основных сущностей предметной области и три служебные.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700"/>
        <w:gridCol w:w="1800"/>
        <w:gridCol w:w="3300"/>
        <w:gridCol w:w="2200"/>
      </w:tblGrid>
      <w:tr>
        <w:trPr>
          <w:tblHeader/>
        </w:trPr>
        <w:tc>
          <w:tcPr>
            <w:tcW w:w="1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Сущность</w:t>
            </w:r>
          </w:p>
        </w:tc>
        <w:tc>
          <w:tcPr>
            <w:tcW w:w="18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Таблица</w:t>
            </w:r>
          </w:p>
        </w:tc>
        <w:tc>
          <w:tcPr>
            <w:tcW w:w="3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Ключевые поля</w:t>
            </w:r>
          </w:p>
        </w:tc>
        <w:tc>
          <w:tcPr>
            <w:tcW w:w="2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Связи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participants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ФИО, e-mail (уникальный), организация, должность, город, роль</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1:N с заявками и приглашениями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Заявка</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applications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аннотация, формат участия, статус, потребность в гостинице</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конференцией, секцией и участником; 1:1 с приглашением и броней; 1:N с оргвзносами и тезисами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Приглашение</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invitations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тема и текст письма, статус очереди, число попыток, текст ошибки</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 и участником</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fees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сумма, валюта, статус, платёжная ссылка, даты оплаты и возврата</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theses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аннотация, ключевые слова, файл, статус, оценка рецензента</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hotel_bookings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 тип номера, число гостей, даты заезда и выезда, статус, срок подтверждения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1:1 с заявкой</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conferences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код, даты, место, размер оргвзноса, признак активности</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1:N с секциями и заявками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Секция</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sections</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вместимость, признак открытия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N:1 с конференцией; 1:N с заявками</w:t>
            </w:r>
          </w:p>
        </w:tc>
      </w:tr>
      <w:tr>
        <w:tc>
          <w:tcPr>
            <w:tcW w:w="1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Журнал действий</w:t>
            </w:r>
          </w:p>
        </w:tc>
        <w:tc>
          <w:tcPr>
            <w:tcW w:w="18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audit_log</w:t>
            </w:r>
          </w:p>
        </w:tc>
        <w:tc>
          <w:tcPr>
            <w:tcW w:w="3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сущность, идентификатор, действие, подробности, время</w:t>
            </w:r>
          </w:p>
        </w:tc>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служебная таблица для разбора инцидентов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5.2. Схема связей.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Центральной сущностью является заявка (applications): она связывает участника, секцию и конференцию и владеет приглашением, оргвзносами, тезисами и бронью гостиницы. При удалении заявки дочерние записи удаляются каскадно, что исключает появление «висячих» связей.</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conferences -+-&gt; sections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+-&gt; applications &lt;----+--- participants --&lt; invitations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+--&lt; fees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+--&lt; theses</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hotel_bookings   (1:1)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 invitation       (1:1)</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5.3. Основные операции.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300"/>
        <w:gridCol w:w="6700"/>
      </w:tblGrid>
      <w:tr>
        <w:trPr>
          <w:tblHeader/>
        </w:trPr>
        <w:tc>
          <w:tcPr>
            <w:tcW w:w="23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Сущность</w:t>
            </w:r>
          </w:p>
        </w:tc>
        <w:tc>
          <w:tcPr>
            <w:tcW w:w="6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Операции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Участники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чтение, изменение, удаление, поиск по ФИО и e-mail, фильтрация по роли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Конференции и секции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чтение, изменение, удаление; просмотр загрузки секции (занято и свободно мест)</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Заявки</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создание черновика, изменение черновика, подача, принятие, отклонение, отзыв, удаление черновика или отозванной заявки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Приглашения</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постановка в очередь, отправка, фиксация ошибки отправки, повторная отправка, выгрузка очереди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Оргвзносы</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начисление, оплата, возврат, фильтрация по статусу</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Тезисы</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добавление по принятой заявке, рецензирование с оценкой, изменение статуса по порогу баллов</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Гостиница</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оформление потребности, подтверждение брони, автоматическое истечение просроченных броней, отмена при отзыве заявки</w:t>
            </w:r>
          </w:p>
        </w:tc>
      </w:tr>
      <w:tr>
        <w:tc>
          <w:tcPr>
            <w:tcW w:w="23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Отчётность</w:t>
            </w:r>
          </w:p>
        </w:tc>
        <w:tc>
          <w:tcPr>
            <w:tcW w:w="6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сводный отчёт по конференции, очередь неотправленных приглашений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5.4. Содержательные правила предметной области.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Реализовано пятнадцать правил (перечислены в разделе 2 отчёта). Ниже подробнее описаны ключевые, поскольку они демонстрируют не просто CRUD-операции, а логику предметной области.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вместимости секции.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Секция имеет ограниченную вместимость (по умолчанию 3 места). При подаче заявки система считает число заявок в статусах «подана» и «принята» и отклоняет подачу, если свободных мест нет, возвращая код section_capacity_exceeded. Место освобождается автоматически при отклонении или отзыве заявки, поэтому отказ одного участника позволяет принять следующего.</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автоматических последствий принятия заявки.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Принятие заявки — составная операция: система проверяет допустимость перехода статуса и наличие мест, переводит заявку в статус «принята», начисляет оргвзнос в размере взноса конференции и создаёт приглашение в статусе «в очереди». Это исключает ситуацию, когда принятая заявка остаётся без начисления взноса или без приглашения.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срока подтверждения брони гостиницы.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 оформлении потребности в гостинице система вычисляет срок подтверждения: текущее время плюс 48 часов (значение настраивается переменной окружения HOTEL_CONFIRMATION_HOURS). Бронь, не подтверждённая в срок, не может быть подтверждена: она переводится в статус «истекла», и операция возвращает код hotel_confirmation_expired. Дистанционному участнику гостиница не предоставляется, а даты проживания должны укладываться в даты конференции.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порога принятия тезисов.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Рецензент выставляет оценку от 1 до 10. Тезисы принимаются к публикации только при оценке не ниже 6 баллов; при меньшей оценке они переводятся в статус «отклонены» даже при положительном решении рецензента. Оценка вне диапазона отклоняется валидацией с ответом 422.</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зависимости от формата участия.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Заявка с дистанционным форматом участия не может содержать потребность в гостинице: такая комбинация отклоняется при создании и при изменении заявки, а также при попытке оформить бронь.</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Правило возврата оргвзноса.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Возврат возможен только для оплаченного взноса и только по заявке, находящейся в статусе «отозвана» или «отклонена». Попытка вернуть неоплаченный взнос возвращает код fee_not_paid, попытка вернуть взнос по принятой заявке — refund_not_allowed_for_status.</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11. Демонстрация правила вместимости секции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веб-интерфейса с всплывающим сообщением об ошибке после попытки подать четвёртую заявку в секцию с вместимостью 3 места.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«Заявки», кнопка «Подать» у четвёртой заявки в одной секции.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Всплывающее сообщение с кодом section_capacity_exceeded и текстом «В секции … нет свободных мест (3 из 3 занято)».</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11 — Демонстрация правила вместимости секции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12. Демонстрация правила автоматического начисления оргвзноса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Два скриншота: первый — вкладка «Заявки» с заявкой в статусе «принята»; второй — вкладка «Оргвзносы» с начислением по этой заявке и вкладка «Приглашения» с приглашением в очереди.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Вкладки «Заявки», «Оргвзносы», «Приглашения» веб-интерфейса.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после принятия заявки автоматически появились начисление оргвзноса на сумму взноса конференции и приглашение со статусом «в очереди».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12 — Демонстрация правила автоматического начисления оргвзноса</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13. Демонстрация правила срока подтверждения брони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«Гостиница» с созданной бронью, у которой видны даты заезда и выезда, число ночей и статус, либо скриншот ответа API с полем confirmation_deadline.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«Гостиница» веб-интерфейса либо результат запроса POST /api/v1/hotel-bookings в Swagger UI.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Поля check_in, check_out, nights, status = requested и confirmation_deadline, отстоящий от текущего времени на 48 часов.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13 — Демонстрация правила срока подтверждения брони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14. Демонстрация порога принятия тезисов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«Тезисы» после нажатия «Отклонить (4)» и после нажатия «Принять (8)» — видно разный итоговый статус при разной оценке.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Вкладка «Тезисы» веб-интерфейса.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Для оценки 4 — статус «отклонены», для оценки 8 — статус «приняты»; в таблице заполнены столбцы «Рецензент» и «Оценка».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14 — Демонстрация порога принятия тезисов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15. Покрытие правил автоматическими тестами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команды .\scripts\dev.ps1 test (или make test).</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Итоговую строку вида «52 passed» — то есть все тесты, включая тесты правил предметной области, проходят.</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15 — Покрытие правил автоматическими тестами</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6. Обработка некорректных запросов, конфигурация и проверка работоспособности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добавить обработку некорректных запросов, конфигурацию через переменные окружения и служебный адрес проверки работоспособности.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6.1. Обработка некорректных запросов.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ответы с кодом 400 и выше имеют единый формат, что упрощает разбор ошибок на клиенте и в системе наблюдения: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"error":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"code": "section_capacity_exceeded",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"message": "В секции «CI/CD и автоматизация релизов» нет свободных мест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(3 из 3 занято)",</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"details": null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Обработаны следующие классы некорректных запросов:</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400"/>
        <w:gridCol w:w="900"/>
        <w:gridCol w:w="2600"/>
        <w:gridCol w:w="3100"/>
      </w:tblGrid>
      <w:tr>
        <w:trPr>
          <w:tblHeader/>
        </w:trPr>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Ситуация</w:t>
            </w:r>
          </w:p>
        </w:tc>
        <w:tc>
          <w:tcPr>
            <w:tcW w:w="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HTTP</w:t>
            </w:r>
          </w:p>
        </w:tc>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Код ошибки</w:t>
            </w:r>
          </w:p>
        </w:tc>
        <w:tc>
          <w:tcPr>
            <w:tcW w:w="3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Несуществующий объект</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404</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not_found</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 секция, участник, заявка, оргвзнос, тезисы, бронь</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Несуществующий маршрут</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404</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адрес запроса</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Неверная схема запроса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422</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validation_error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обязательные поля, формат e-mail, диапазоны чисел, даты; в поле details перечислены конкретные поля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Некорректный параметр запроса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422</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validation_error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например limit = 0 или отрицательный offset</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Некорректные данные, проверяемые логикой</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400</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invalid_conference_dates, section_not_in_conference, hotel_not_allowed_for_online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соотношение дат, принадлежность секции конференции, совместимость формата участия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Нарушение правила предметной области</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409</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конкретного правила</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вместимость секции, переходы статусов, дубликаты, сроки, суммы</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Нарушение целостности данных</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409</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integrity_error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уникальность и ссылочная целостность на уровне базы данных</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Непредвиденная ошибка</w:t>
            </w:r>
          </w:p>
        </w:tc>
        <w:tc>
          <w:tcPr>
            <w:tcW w:w="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500</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internal_error</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внутренняя ошибка; при APP_DEBUG = false подробности не раскрываются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Дополнительно каждый ответ содержит заголовок X-Request-ID — сквозной идентификатор запроса. Значение либо принимается от клиента, либо генерируется; оно попадает в журнал приложения и в сообщение обработчика ошибок, что позволяет разобрать инцидент по конкретному запросу.</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16. Единый формат ответа об ошибке (422)</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Swagger UI или окна терминала с ответом на некорректный запрос: например, POST /api/v1/participants с неверным e-mail.</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http://127.0.0.1:8000/docs, метод POST /api/v1/participants → Try it out, либо команда curl с некорректным телом запроса.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HTTP 422 и тело {"error":{"code":"validation_error","message":"Запрос содержит некорректные данные","details":[{"field":"body.email",...}]}}.</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16 — Единый формат ответа об ошибке (422)</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17. Ответ при нарушении правила предметной области (409)</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ответа на попытку подать заявку в заполненную секцию или оплатить уже оплаченный оргвзнос.</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Swagger UI (метод POST /api/v1/applications/{id}/submit) либо всплывающее сообщение в веб-интерфейсе.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Код HTTP 409 и поле error.code с кодом конкретного правила, например section_capacity_exceeded или fee_already_paid.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17 — Ответ при нарушении правила предметной области (409)</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6.2. Конфигурация через переменные окружения.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Все параметры приложения читаются из переменных окружения. В репозитории хранится только шаблон .env.example с безопасными значениями-заглушками; рабочий файл .env добавлен в .gitignore и в репозиторий не попадает.</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3100"/>
        <w:gridCol w:w="3000"/>
      </w:tblGrid>
      <w:tr>
        <w:trPr>
          <w:tblHeader/>
        </w:trPr>
        <w:tc>
          <w:tcPr>
            <w:tcW w:w="2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Переменная</w:t>
            </w:r>
          </w:p>
        </w:tc>
        <w:tc>
          <w:tcPr>
            <w:tcW w:w="31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По умолчанию</w:t>
            </w:r>
          </w:p>
        </w:tc>
        <w:tc>
          <w:tcPr>
            <w:tcW w:w="30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Назначение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APP_NAME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Конференция</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приложения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APP_ENV</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local</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окружение: local, docker, ci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APP_DEBUG</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true</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подробные сообщения об ошибках</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APP_HOST / APP_PORT</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127.0.0.1 / 8000</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адрес и порт приложения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DATABASE_URL</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sqlite+pysqlite:///./data/conference.db</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строка подключения к базе данных</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ADMIN_EMAIL</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admin@conference.local</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e-mail администратора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ADMIN_PASSWORD</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ChangeMe_12345</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пароль администратора (подлежит замене)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ADMIN_FULL_NAME</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Администратор программы</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ФИО администратора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SEED_DEMO_DATA</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true</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создавать демонстрационные данные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SECTION_CAPACITY</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вместимость секции по умолчанию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HOTEL_CONFIRMATION_HOURS</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48</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срок подтверждения брони, часы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ABSTRACT_MAX_SIZE_KB</w:t>
            </w:r>
          </w:p>
        </w:tc>
        <w:tc>
          <w:tcPr>
            <w:tcW w:w="3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512</w:t>
            </w:r>
          </w:p>
        </w:tc>
        <w:tc>
          <w:tcPr>
            <w:tcW w:w="3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предел размера файла тезисов</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Значения по умолчанию пригодны только для локальной разработки. Для эксплуатации задаются собственные значения: например, в контейнерном окружении DATABASE_URL указывает на PostgreSQL, а APP_DEBUG принимает значение false.</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6.3. Служебный адрес проверки работоспособности.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Метод GET /health выполняет простейший запрос SELECT 1 к базе данных и возвращает её состояние. Если база недоступна, поле database содержит описание ошибки, а status принимает значение degraded. Этот адрес используется тремя потребителями: инструкцией HEALTHCHECK в Dockerfile, скриптом scripts/container_check.py и шагом проверки в конвейере CI.</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GET /health</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"status": "ok",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"version": "0.1.0",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"database": "ok",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"app_env": "local",</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"checked_at": "2026-01-15T10:00:00Z"</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18. Файл .env.example с перечнем переменных окружения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.env.example, открытого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.env.example.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переменных окружения с комментариями: параметры приложения, строка подключения к базе данных, учётная запись администратора, правила предметной области.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18 — Файл .env.example с перечнем переменных окружения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19. Проверка работоспособности контейнера</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.\scripts\dev.ps1 up и .\scripts\dev.ps1 container-check, а также вывода docker compose ps.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 (при установленном Docker Desktop).</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Два контейнера conference-app и conference-db в состоянии running / healthy и строку «OK  http://127.0.0.1:8000/health -&gt; {...status: ok...}».</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19 — Проверка работоспособности контейнера</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7. Удалённый Git-репозиторий, README, .gitignore, .env.example, описание API и схема данных</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создать удалённый Git-репозиторий, README, .gitignore, .env.example, описание API и схему данных.</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00"/>
        <w:gridCol w:w="2600"/>
        <w:gridCol w:w="4400"/>
      </w:tblGrid>
      <w:tr>
        <w:trPr>
          <w:tblHeader/>
        </w:trPr>
        <w:tc>
          <w:tcPr>
            <w:tcW w:w="20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Артефакт</w:t>
            </w:r>
          </w:p>
        </w:tc>
        <w:tc>
          <w:tcPr>
            <w:tcW w:w="2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Файл</w:t>
            </w:r>
          </w:p>
        </w:tc>
        <w:tc>
          <w:tcPr>
            <w:tcW w:w="4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Содержание</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Удалённый репозиторий</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https://github.com/Galaxy-1337/PopiKazaryan_DevOps_2026</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основная ветка main, настроен удалённый репозиторий origin</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Документация проекта</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README.md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назначение системы, категории пользователей, сценарии, правила работы, архитектура, быстрый старт, единый командный интерфейс, конфигурация, ссылки на описание API и схему данных</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Исключения Git</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.gitignore</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секреты (.env), база и резервные копии (data/, backups/, *.db), виртуальное окружение, кэши, каталоги редакторов и ОС</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Шаблон конфигурации</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.env.example</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перечень всех переменных окружения с безопасными значениями по умолчанию</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Описание API</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docs/API.md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все методы с примерами запросов и ответов, перечень кодов ошибок, правила пагинации, трассировка запросов</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Схема данных</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docs/DATA_MODEL.md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диаграмма связей, описание девяти таблиц, ограничения целостности, требования к хранению данных</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Правила работы</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CONTRIBUTING.md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обязательные проверки, запрещённые действия, порядок приёмки</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Git-процесс</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docs/GIT_WORKFLOW.md</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пошаговое руководство от задачи до тега версии, включая разрешение конфликта</w:t>
            </w:r>
          </w:p>
        </w:tc>
      </w:tr>
      <w:tr>
        <w:tc>
          <w:tcPr>
            <w:tcW w:w="20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Техническое задание</w:t>
            </w:r>
          </w:p>
        </w:tc>
        <w:tc>
          <w:tcPr>
            <w:tcW w:w="2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docs/ТЗ_Конференция_ГОСТ_19.201-78.docx</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ТЗ по ГОСТ 19.201-78 (см. задание 3)</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Удалённый репозиторий подключён к рабочей папке проекта командой:</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remote add origin https://github.com/Galaxy-1337/PopiKazaryan_DevOps_2026.git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remote -v</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origin  https://github.com/Galaxy-1337/PopiKazaryan_DevOps_2026.git (fetch)</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origin  https://github.com/Galaxy-1337/PopiKazaryan_DevOps_2026.git (push)</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Ежедневный цикл работы сводится к трём командам:</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add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"feat(hotel): добавить сущность брони гостиницы"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20. Удалённый репозиторий на GitHub</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главной страницы репозитория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адрес https://github.com/Galaxy-1337/PopiKazaryan_DevOps_2026.</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Название репозитория, список файлов в корне (app, docs, scripts, tests, README.md, CONTRIBUTING.md, Dockerfile, Makefile, .env.example), активную ветку main и количество коммитов.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20 — Удалённый репозиторий на GitHub</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21. Файл .gitignore в репозитории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.gitignore, открытого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.gitignore.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Правила игнорирования: .env, data/, backups/, *.db, .venv/, __pycache__/, .pytest_cache/, .ruff_cache/.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21 — Файл .gitignore в репозитории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22. Содержание README.md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отображения README.md на главной странице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Главная страница репозитория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Оглавление документа, разделы «Назначение системы», «Быстрый старт» и «Обязательные правила работы».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22 — Содержание README.md</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23. Описание API (docs/API.md)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docs/API.md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docs → API.md.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Разделы с описанием методов, единый формат ошибки и таблицу кодов нарушения правил предметной области.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23 — Описание API (docs/API.md)</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24. Схема данных (docs/DATA_MODEL.md)</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docs/DATA_MODEL.md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docs → DATA_MODEL.md.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Диаграмму связей таблиц и таблицу с перечнем ограничений целостности (уникальность и проверки CHECK).</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24 — Схема данных (docs/DATA_MODEL.md)</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8. Выполнение функции через задачу, ветку, коммиты, запрос на слияние и проверку</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организовать выполнение одной функции через задачу, отдельную ветку, несколько осмысленных коммитов, запрос на слияние и проверку изменений.</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8.1. Выбранная функция.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Для демонстрации процесса выбрана функция «Учёт потребности в гостинице»: она добавляет новую сущность, новое правило предметной области и требует изменений в моделях, сервисах, API, тестах и документации — то есть проходит весь путь изменения.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8.2. Последовательность выполнения.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00"/>
        <w:gridCol w:w="4400"/>
        <w:gridCol w:w="2700"/>
      </w:tblGrid>
      <w:tr>
        <w:trPr>
          <w:tblHeader/>
        </w:trPr>
        <w:tc>
          <w:tcPr>
            <w:tcW w:w="19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Шаг процесса</w:t>
            </w:r>
          </w:p>
        </w:tc>
        <w:tc>
          <w:tcPr>
            <w:tcW w:w="4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сделано</w:t>
            </w:r>
          </w:p>
        </w:tc>
        <w:tc>
          <w:tcPr>
            <w:tcW w:w="27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Команда или действие</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Задача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создана задача с описанием результата и критериями готовности</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Issues → New issue</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Ветка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создана ветка feature/hotel-booking от актуального main</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switch -c feature/hotel-booking</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1</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добавлена сущность брони гостиницы: модель, схема, ограничения</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"feat(hotel): добавить сущность брони гостиницы"</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2</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реализовано правило срока подтверждения и запрет для дистанционного формата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"feat(hotel): реализовать правило срока подтверждения брони"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3</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написаны тесты на подтверждение, истечение и отмену брони</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"test(hotel): покрыть подтверждение и истечение брони"</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Коммит 4</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обновлена документация: описание метода, схема данных, README</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commit -m "docs(hotel): описать методы API гостиницы"</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Локальная проверка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выполнен полный набор проверок</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verify</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Отправка</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ветка отправлена в удалённый репозиторий</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push -u origin feature/hotel-booking</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Запрос на слияние</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создан Pull Request с описанием, ссылкой на задачу и разделом «Как проверить»</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Compare &amp; pull request</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Проверка изменений</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CI выполнил форматирование, анализ, тесты, дымовую проверку, сборку контейнера и проверку /health</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Actions (зелёный статус)</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Слияние</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PR слит в main, ветка удалена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 Merge pull request → Delete branch</w:t>
            </w:r>
          </w:p>
        </w:tc>
      </w:tr>
      <w:tr>
        <w:tc>
          <w:tcPr>
            <w:tcW w:w="1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Актуализация</w:t>
            </w:r>
          </w:p>
        </w:tc>
        <w:tc>
          <w:tcPr>
            <w:tcW w:w="4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локальная main обновлена, ветка удалена</w:t>
            </w:r>
          </w:p>
        </w:tc>
        <w:tc>
          <w:tcPr>
            <w:tcW w:w="27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 switch main; git pull --ff-only; git branch -d feature/hotel-booking</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8.3. Содержание запроса на слияние.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Описание PR оформлено по шаблону: ссылка на задачу (Closes #N), перечень выполненных работ, порядок ручной проверки и контрольный список (пройдены ли локальные проверки, добавлены ли тесты, обновлена ли документация, нет ли секретов в коммите).</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8.4. Проверка изменений перед слиянием.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Изменение считается проверенным, если выполнены два условия: локально пройден полный набор проверок и в CI зелёный статус по обеим группам заданий — «Локальные проверки и тесты» и «Сборка и проверка контейнера». Дополнительно просматривается вкладка Files changed, чтобы убедиться, что в PR нет секретов и посторонних файлов.</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25. Задача (issue) для выбранной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задачи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Issues → открытая задача с описанием функции учёта гостиницы.</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задачи, описание, критерии готовности, метку и номер задачи.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25 — Задача (issue) для выбранной функции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26. История коммитов ветки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результата команды git log --oneline --graph --decorate -15 в терминале.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Четыре осмысленных коммита с префиксами feat/test/docs и понятными сообщениями, а также метку ветки feature/hotel-booking.</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26 — История коммитов ветки функции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27. Запрос на слияние с пройденными проверками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Pull Request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Pull requests → выбранный PR.</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Заголовок PR, описание со ссылкой Closes #N, зелёные отметки проверок CI и вкладку Files changed с перечнем изменённых файлов.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27 — Запрос на слияние с пройденными проверками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28. Результат слияния в ветке main</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вкладки Actions с успешно выполненным конвейером и/или графа коммитов main после слияния.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Actions (успешный запуск) либо граф коммитов (Insights → Network, GitLens в VS Code, git log).</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Зелёный статус конвейера и наличие коммита слияния в ветке main.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28 — Результат слияния в ветке main</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9. Моделирование и разрешение конфликта слияния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смоделировать и разрешить конфликт слияния.</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9.1. Как конфликт был смоделирован.</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Конфликт слияния возникает, когда две ветки изменяют один и тот же фрагмент одного файла. Чтобы получить конфликт предсказуемо, были созданы две ветки от одной точки, каждая из которых меняла одну и ту же строку версии приложения: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Ветка A: одна версия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-c feature/version-a</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 app/__init__.py: __version__ = "0.1.1"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"chore: поднять версию до 0.1.1"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Ветка B: другая версия той же строки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-c feature/version-b</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в app/__init__.py: __version__ = "0.1.2"</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"chore: поднять версию до 0.1.2"</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Ветка A была слита в main через запрос на слияние. После этого попытка слить ветку B дала конфликт:</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merge feature/version-b</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Auto-merging app/__init__.py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CONFLICT (content): Merge conflict in app/__init__.py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Automatic merge failed; fix conflicts and then commit the result.</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9.2. Как конфликт был разрешён.</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Git пометил конфликтный фрагмент маркерами:</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&lt;&lt;&lt;&lt;&lt;&lt;&lt; HEAD</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__version__ = "0.1.1"</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__version__ = "0.1.2"</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&gt;&gt;&gt;&gt;&gt;&gt;&gt; feature/version-b</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Порядок разрешения: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определено, какое значение является правильным (большая, то есть более поздняя версия 0.1.2);</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маркеры конфликта и лишний вариант удалены, оставлена одна строка __version__ = "0.1.2";</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проверено, что не потеряны изменения, которые должны были сохраниться из обеих ветвей;</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выполнен поиск оставшихся маркеров конфликта, чтобы ни один файл не остался неразрешённым;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выполнен полный набор проверок — слияние могло сломать код;</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результат зафиксирован коммитом слияния.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Проверка, что маркеров конфликта не осталось</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diff --check</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Обязательная проверка после разрешения конфликта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Фиксация результата слияния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add app/__init__.py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commit -m "merge: разрешить конфликт версий (оставлена 0.1.2)"</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9.3. Разрешение конфликта в Visual Studio Code.</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Помимо командной строки конфликт разрешался и в редакторе: Visual Studio Code подсвечивает конфликтные файлы в панели Source Control и предлагает для каждой группы маркеров действия Accept Current Change, Accept Incoming Change, Accept Both Changes и Compare Changes. После выбора варианта файл добавляется в индекс (кнопка «+») и фиксируется коммитом. Если изменение не требуется, слияние можно полностью отменить командой git merge --abort.</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29. Возникший конфликт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сообщением CONFLICT (content): Merge conflict in app/__init__.py и/или скриншот панели Source Control в Visual Studio Code с файлом в состоянии конфликта.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после команды git merge feature/version-b; либо панель Source Control (Ctrl+Shift+G) в VS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Сообщение о конфликте и имя конфликтного файла.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29 — Возникший конфликт слияния</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30. Маркеры конфликта в файле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app/__init__.py в Visual Studio Code с видимыми маркерами &lt;&lt;&lt;&lt;&lt;&lt;&lt;, =======, &gt;&gt;&gt;&gt;&gt;&gt;&gt; и подсказками Accept Current / Incoming Change.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Редактор Visual Studio Code, файл app/__init__.py.</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Обе конфликтующие версии строки версии и панель выбора варианта разрешения.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30 — Маркеры конфликта в файле</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31. Разрешённый конфликт и коммит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git status после git add и git log --oneline --graph -5 после коммита слияния.</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Отсутствие неразрешённых файлов, итоговую строку «nothing to commit, working tree clean» и коммит с сообщением «merge: разрешить конфликт версий (оставлена 0.1.2)».</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31 — Разрешённый конфликт и коммит слияния</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10. Тег первой версии v0.1.0</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создать тег первой версии v0.1.0.</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После слияния всех изменений в main и успешного прохождения проверок создан аннотированный тег первой версии. Аннотированный тег хранит автора, дату и сообщение, поэтому он пригоден как отметка релиза.</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switch main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pull --ff-only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.\scripts\dev.ps1 verify</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tag -a v0.1.0 -m "Первая версия: участники, заявки, оргвзносы, тезисы,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гостиница, приглашения, отчёты"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push origin v0.1.0</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tag -n</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v0.1.0          Первая версия: участники, заявки, оргвзносы, тезисы,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                гостиница, приглашения, отчёты</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git show v0.1.0 --stat</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Версия приложения синхронизирована с тегом: значение __version__ в app/__init__.py равно 0.1.0 и совпадает со значением version в pyproject.toml. То же значение возвращает служебный адрес /version и указывается в схеме OpenAPI, поэтому версию работающего приложения можно проверить в любой момент.</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32. Созданный тег v0.1.0</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результата команд git tag -n и git show v0.1.0 --stat в терминале.</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Строку с тегом v0.1.0, его сообщение и перечень файлов, вошедших в версию.</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32 — Созданный тег v0.1.0</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33. Тег в удалённом репозитории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тегов (или Releases) на GitHub.</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Code → Tags либо Releases → Tags.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Тег v0.1.0 с датой создания, привязанный к коммиту в ветке main.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33 — Тег в удалённом репозитории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34. Версия приложения в работающем сервисе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ответа адреса http://127.0.0.1:8000/version или страницы http://127.0.0.1:8000/docs.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Браузер или терминал (curl http://127.0.0.1:8000/version).</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Значение version = 0.1.0, совпадающее с тегом релиза.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34 — Версия приложения в работающем сервисе</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240" w:after="120" w:line="360" w:lineRule="auto"/>
        <w:contextualSpacing/>
        <w:ind w:firstLine="709" w:left="0"/>
        <w:jc w:val="left"/>
        <w:rPr>
          <w:rFonts w:ascii="Times New Roman" w:hAnsi="Times New Roman" w:eastAsia="Times New Roman"/>
          <w:b/>
          <w:sz w:val="30"/>
          <w:szCs w:val="30"/>
        </w:rPr>
      </w:pPr>
      <w:r>
        <w:rPr>
          <w:rFonts w:ascii="Times New Roman" w:hAnsi="Times New Roman" w:cs="Times New Roman" w:eastAsia="Times New Roman"/>
          <w:b/>
          <w:sz w:val="30"/>
          <w:szCs w:val="30"/>
        </w:rPr>
        <w:t xml:space="preserve">11. Правила внесения изменений: проверки, запреты, порядок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i/>
          <w:sz w:val="28"/>
          <w:szCs w:val="28"/>
        </w:rPr>
        <w:t xml:space="preserve">Формулировка задания: зафиксировать в README или отдельном документе правила внесения изменений: обязательные команды проверки, запрещённые действия и порядок приёмки.</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Что сделано.</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Правила зафиксированы в отдельном документе CONTRIBUTING.md, краткая выжимка и ссылка на него добавлены в README.md, а пошаговое руководство по Git-процессу вынесено в docs/GIT_WORKFLOW.md.</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11.1. Путь изменения.</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задача -&gt; ветка -&gt; изменение кода -&gt; локальные проверки -&gt; Git -&gt; CI -&gt;</w:t>
      </w:r>
    </w:p>
    <w:p>
      <w:pPr>
        <w:spacing w:before="0" w:after="0" w:line="240" w:lineRule="auto"/>
        <w:contextualSpacing/>
        <w:ind w:firstLine="0" w:left="284"/>
        <w:jc w:val="left"/>
        <w:rPr>
          <w:rFonts w:ascii="Consolas" w:hAnsi="Consolas" w:eastAsia="Times New Roman"/>
          <w:sz w:val="20"/>
          <w:szCs w:val="20"/>
        </w:rPr>
      </w:pPr>
      <w:r>
        <w:rPr>
          <w:rFonts w:ascii="Consolas" w:hAnsi="Consolas" w:cs="Consolas" w:eastAsia="Times New Roman"/>
          <w:sz w:val="20"/>
          <w:szCs w:val="20"/>
        </w:rPr>
        <w:t xml:space="preserve">образ -&gt; CD -&gt; проверка релиза -&gt; наблюдение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Ни один шаг не пропускается. Любое изменение рассматривается как потенциально ошибочное независимо от того, кем оно создано: участником команды, преподавателем или средствами автоматической генерации кода. Ни один способ создания кода не освобождает изменение от обязательных проверок.</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11.2. Обязательные команды проверки.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00"/>
        <w:gridCol w:w="3200"/>
        <w:gridCol w:w="3600"/>
      </w:tblGrid>
      <w:tr>
        <w:trPr>
          <w:tblHeader/>
        </w:trPr>
        <w:tc>
          <w:tcPr>
            <w:tcW w:w="2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Шаг</w:t>
            </w:r>
          </w:p>
        </w:tc>
        <w:tc>
          <w:tcPr>
            <w:tcW w:w="3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Команда</w:t>
            </w:r>
          </w:p>
        </w:tc>
        <w:tc>
          <w:tcPr>
            <w:tcW w:w="36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1</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 format --check .</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единый формат кода</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2</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ruff check .</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статический анализ, потенциальные дефекты</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3</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pytest -q</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52 автоматических теста, включая все правила предметной области</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4</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python -m scripts.smoke</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приложение поднимается и отвечает на ключевые адреса</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Все шаги сразу</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verify  (или make verify)</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полный набор локальных проверок перед коммитом</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Дополнительно при работе с БД</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migrate</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схема создаётся без ошибок</w:t>
            </w:r>
          </w:p>
        </w:tc>
      </w:tr>
      <w:tr>
        <w:tc>
          <w:tcPr>
            <w:tcW w:w="2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Дополнительно при работе с контейнерами</w:t>
            </w:r>
          </w:p>
        </w:tc>
        <w:tc>
          <w:tcPr>
            <w:tcW w:w="3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.\scripts\dev.ps1 up; .\scripts\dev.ps1 container-check</w:t>
            </w:r>
          </w:p>
        </w:tc>
        <w:tc>
          <w:tcPr>
            <w:tcW w:w="36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контейнер поднимается и отвечает на /health</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Та же команда verify используется локально и в конвейере CI, поэтому локальный результат и результат автоматической проверки совпадают: разницы между «у меня работает» и «в CI работает» не возникает.</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11.3. Запрещённые действия.</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пушить напрямую в main и вливать запрос на слияние без пройденного CI;</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секреты: файл .env, пароли, токены, ключи, строки подключения с паролем;</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локальные и сгенерированные файлы: data/, backups/, .venv/, __pycache__/, *.db, журналы;</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удалять или отключать тесты, снижать пороги качества, ослаблять или отключать шаги CI только ради прохождения проверки;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добавлять отключения анализа без обоснования, исключать каталоги из проверок;</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переписывать историю общей ветки, форс-пушить в main, удалять теги релизов;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 коммитить код, который не проходит полный набор локальных проверок.</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11.4. Особый контроль критических файлов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Файлы, определяющие, что считается правильным, выделены в отдельную категорию: конфигурация CI (.github/workflows/ci.yml), единый командный интерфейс (Makefile, scripts/dev.ps1), скрипты проверок (scripts/smoke.py, scripts/container_check.py), настройка тестов (tests/conftest.py), правила анализа (pyproject.toml) и среда эксплуатации (Dockerfile, docker-compose.yml). Их изменения обязаны быть видны в запросе на слияние, не могут ослаблять проверки и проверяются отдельно.</w:t>
      </w: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11.5. Порядок приёмки.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400"/>
        <w:gridCol w:w="2400"/>
        <w:gridCol w:w="4200"/>
      </w:tblGrid>
      <w:tr>
        <w:trPr>
          <w:tblHeader/>
        </w:trPr>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Этап</w:t>
            </w:r>
          </w:p>
        </w:tc>
        <w:tc>
          <w:tcPr>
            <w:tcW w:w="24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Кто выполняет</w:t>
            </w:r>
          </w:p>
        </w:tc>
        <w:tc>
          <w:tcPr>
            <w:tcW w:w="4200" w:type="dxa"/>
            <w:vAlign w:val="center"/>
          </w:tcPr>
          <w:p>
            <w:pPr>
              <w:spacing w:before="0" w:after="0" w:line="240" w:lineRule="auto"/>
              <w:contextualSpacing/>
              <w:ind w:firstLine="0" w:left="0"/>
              <w:jc w:val="left"/>
              <w:rPr>
                <w:rFonts w:ascii="Times New Roman" w:hAnsi="Times New Roman" w:eastAsia="Times New Roman"/>
                <w:b/>
                <w:sz w:val="24"/>
                <w:szCs w:val="24"/>
              </w:rPr>
            </w:pPr>
            <w:r>
              <w:rPr>
                <w:rFonts w:ascii="Times New Roman" w:hAnsi="Times New Roman" w:cs="Times New Roman" w:eastAsia="Times New Roman"/>
                <w:b/>
                <w:sz w:val="24"/>
                <w:szCs w:val="24"/>
              </w:rPr>
              <w:t xml:space="preserve">Что проверяется</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Автоматическая приёмка</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GitHub Actions</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форматирование, статический анализ, тесты, дымовая проверка, применение схемы БД, сборка образа и проверка /health в контейнере</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Организационная приёмка (review)</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второй участник команды или преподаватель</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соответствие задаче и правилам предметной области, наличие тестов, отсутствие секретов, актуальность документации, читаемость кода, осмысленность коммитов</w:t>
            </w:r>
          </w:p>
        </w:tc>
      </w:tr>
      <w:tr>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Финальная приёмка</w:t>
            </w:r>
          </w:p>
        </w:tc>
        <w:tc>
          <w:tcPr>
            <w:tcW w:w="24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преподаватель</w:t>
            </w:r>
          </w:p>
        </w:tc>
        <w:tc>
          <w:tcPr>
            <w:tcW w:w="42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живая демонстрация приложения и контрольное изменение: путь от задачи до тега, объяснение правил, проведение небольшого изменения через ветку и запрос на слияние, доказательство того, что секреты и локальные файлы не попадают в репозиторий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0" w:after="0" w:line="360" w:lineRule="auto"/>
        <w:contextualSpacing/>
        <w:ind w:firstLine="709" w:left="0"/>
        <w:jc w:val="both"/>
        <w:rPr>
          <w:rFonts w:ascii="Times New Roman" w:hAnsi="Times New Roman" w:eastAsia="Times New Roman"/>
          <w:b/>
          <w:sz w:val="28"/>
          <w:szCs w:val="28"/>
        </w:rPr>
      </w:pPr>
      <w:r>
        <w:rPr>
          <w:rFonts w:ascii="Times New Roman" w:hAnsi="Times New Roman" w:cs="Times New Roman" w:eastAsia="Times New Roman"/>
          <w:b/>
          <w:sz w:val="28"/>
          <w:szCs w:val="28"/>
        </w:rPr>
        <w:t xml:space="preserve">11.6. Шаблон сообщений коммитов.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Принят формат Conventional Commits с типами feat, fix, docs, test, refactor, chore, ci. Сообщение должно отвечать на вопрос «что сделано», а не «что я делал». Примеры осмысленной истории коммитов одной функции приведены в разделе 8 отчёта. Сообщения вида «fix», «update», «правки» запрещены.</w:t>
      </w: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35. Документ с правилами внесения изменений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файла CONTRIBUTING.md (на GitHub или в Visual Studio Code).</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Корень проекта, файл CONTRIBUTING.md.</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Разделы «Обязательные команды локальной проверки», «Запрещённые действия» и «Порядок приёмки».</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35 — Документ с правилами внесения изменений</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36. Конвейер CI в действии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страницы GitHub Actions с успешно выполненным конвейером.</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Репозиторий → Actions → последний запуск workflow «CI».</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Две группы заданий — «Локальные проверки и тесты» и «Сборка и проверка контейнера» — с зелёными отметками и списком выполненных шагов.</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36 — Конвейер CI в действии</w:t>
            </w:r>
          </w:p>
        </w:tc>
      </w:tr>
    </w:tbl>
    <w:p>
      <w:pPr>
        <w:spacing w:before="0" w:after="0" w:line="120" w:lineRule="auto"/>
        <w:contextualSpacing/>
        <w:ind w:firstLine="709" w:left="0"/>
        <w:jc w:val="both"/>
        <w:rPr>
          <w:rFonts w:ascii="Times New Roman" w:hAnsi="Times New Roman" w:eastAsia="Times New Roman"/>
          <w:sz w:val="12"/>
          <w:szCs w:val="12"/>
        </w:rPr>
      </w:pPr>
    </w:p>
    <w:p>
      <w:pPr>
        <w:spacing w:before="160" w:after="0" w:line="360" w:lineRule="auto"/>
        <w:contextualSpacing/>
        <w:ind w:firstLine="0" w:left="0"/>
        <w:jc w:val="both"/>
        <w:rPr>
          <w:rFonts w:ascii="Times New Roman" w:hAnsi="Times New Roman" w:eastAsia="Times New Roman"/>
          <w:b/>
          <w:sz w:val="24"/>
          <w:szCs w:val="24"/>
        </w:rPr>
      </w:pPr>
      <w:r>
        <w:rPr>
          <w:rFonts w:ascii="Times New Roman" w:hAnsi="Times New Roman" w:cs="Times New Roman" w:eastAsia="Times New Roman"/>
          <w:b/>
          <w:color w:val="1F3864"/>
          <w:sz w:val="24"/>
          <w:szCs w:val="24"/>
        </w:rPr>
        <w:t xml:space="preserve">РИСУНОК 37. Доказательство того, что секреты не попадают в репозиторий</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сфотографировать</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Скриншот терминала с результатом команд git check-ignore -v .env и git ls-files.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Где это находится</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Что должно быть видно</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Строку .gitignore:2:.env    .env (файл игнорируется) и список отслеживаемых файлов, в котором есть только .env.example и нет ни .env, ни *.db, ни каталогов data/ и backups/.</w:t>
            </w:r>
          </w:p>
        </w:tc>
      </w:tr>
      <w:tr>
        <w:tc>
          <w:tcPr>
            <w:tcW w:w="29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Подпись под рисунком</w:t>
            </w:r>
          </w:p>
        </w:tc>
        <w:tc>
          <w:tcPr>
            <w:tcW w:w="6100" w:type="dxa"/>
            <w:vAlign w:val="center"/>
          </w:tcPr>
          <w:p>
            <w:pPr>
              <w:spacing w:before="0" w:after="0" w:line="240" w:lineRule="auto"/>
              <w:contextualSpacing/>
              <w:ind w:firstLine="0" w:left="0"/>
              <w:jc w:val="left"/>
              <w:rPr>
                <w:rFonts w:ascii="Times New Roman" w:hAnsi="Times New Roman" w:eastAsia="Times New Roman"/>
                <w:sz w:val="24"/>
                <w:szCs w:val="24"/>
              </w:rPr>
            </w:pPr>
            <w:r>
              <w:rPr>
                <w:rFonts w:ascii="Times New Roman" w:hAnsi="Times New Roman" w:cs="Times New Roman" w:eastAsia="Times New Roman"/>
                <w:sz w:val="24"/>
                <w:szCs w:val="24"/>
              </w:rPr>
              <w:t xml:space="preserve">Рисунок 37 — Доказательство того, что секреты не попадают в репозиторий</w:t>
            </w:r>
          </w:p>
        </w:tc>
      </w:tr>
    </w:tbl>
    <w:p>
      <w:pPr>
        <w:spacing w:before="0" w:after="0" w:line="120" w:lineRule="auto"/>
        <w:contextualSpacing/>
        <w:ind w:firstLine="709" w:left="0"/>
        <w:jc w:val="both"/>
        <w:rPr>
          <w:rFonts w:ascii="Times New Roman" w:hAnsi="Times New Roman" w:eastAsia="Times New Roman"/>
          <w:sz w:val="12"/>
          <w:szCs w:val="12"/>
        </w:rPr>
      </w:pP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Заключение</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 ходе лабораторной работы №1 разработан сквозной проект «Конференция» — система учёта участников конференции, приглашений, заявок, оргвзносов, тезисов и потребности в гостинице, пригодная для формирования очередей рассылки и отчётности.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Выполнены все одиннадцать заданий. Выбрана и согласована предметная область; сформулированы назначение системы, категории пользователей, основные сценарии и пятнадцать обязательных правил работы. Составлено техническое задание по ГОСТ 19.201-78. Разработано работоспособное приложение с HTTP API, реляционной базой данных и веб-интерфейсом: реализовано девять связанных сущностей, полный набор операций и содержательные правила предметной области — вместимость секции, автоматические последствия принятия заявки, срок подтверждения брони гостиницы, порог принятия тезисов и правила возврата оргвзноса.</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Добавлена обработка некорректных запросов с единым форматом ответа об ошибке, конфигурация через переменные окружения, служебный адрес проверки работоспособности и журнал значимых действий. Создан удалённый Git-репозиторий с README, .gitignore, .env.example, описанием API и схемой данных. Функция учёта гостиницы проведена через полный цикл: задача, отдельная ветка, четыре осмысленных коммита, запрос на слияние и автоматическая проверка изменений. Смоделирован и разрешён конфликт слияния. Создан тег первой версии v0.1.0. Зафиксированы правила внесения изменений: обязательные команды проверки, запрещённые действия и порядок приёмки.</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Качество подтверждено измеримыми результатами: 52 автоматических теста проходят, статический анализ и проверка форматирования не выявляют замечаний, дымовая проверка приложения успешна, конвейер CI зелёный по обеим группам заданий. Единый командный интерфейс (make verify или .\scripts\dev.ps1 verify) объединяет все обязательные проверки, поэтому локальный результат и результат автоматической проверки совпадают.</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Дальнейшее развитие проекта: подключение Alembic для версионирования схемы базы данных, переход от учебной имитации отправки приглашений к реальной рассылке, добавление аутентификации с разграничением прав по ролям, экспорт отчётов в форматы xlsx и pdf, а также расширение набора проверок (покрытие кода тестами, проверка уязвимостей зависимостей).</w:t>
      </w:r>
    </w:p>
    <w:p>
      <w:pPr>
        <w:keepNext/>
        <w:spacing w:before="0" w:after="120" w:line="360" w:lineRule="auto"/>
        <w:contextualSpacing/>
        <w:ind w:firstLine="0" w:left="0"/>
        <w:jc w:val="center"/>
        <w:rPr>
          <w:rFonts w:ascii="Times New Roman" w:hAnsi="Times New Roman" w:eastAsia="Times New Roman"/>
          <w:b/>
          <w:sz w:val="32"/>
          <w:szCs w:val="32"/>
        </w:rPr>
      </w:pPr>
      <w:r>
        <w:rPr>
          <w:rFonts w:ascii="Times New Roman" w:hAnsi="Times New Roman" w:cs="Times New Roman" w:eastAsia="Times New Roman"/>
          <w:b/>
          <w:sz w:val="32"/>
          <w:szCs w:val="32"/>
        </w:rPr>
        <w:t xml:space="preserve">Список использованных источников</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 ГОСТ 19.201-78. Единая система программной документации. Техническое задание. Требования к содержанию и оформлению. — М.: Издательство стандартов, 1978.</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2. ГОСТ 34.601-90. Комплекс стандартов на автоматизированные системы. Автоматизированные системы. Стадии создания. — М.: Издательство стандартов, 1991.</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3. ГОСТ 24.701-86. Единая система стандартов автоматизированных систем управления. Надёжность автоматизированных систем управления. Основные положения. — М.: Издательство стандартов, 1987. — 17 с.</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4.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5. 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6. ISO/IEC 25010:2011. Systems and software engineering — Systems and software Quality Requirements and Evaluation (SQuaRE) — System and software quality models.</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7. Документация FastAPI. Режим доступа: https://fastapi.tiangolo.com/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8. Документация SQLAlchemy 2.0. Режим доступа: https://docs.sqlalchemy.org/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9. Документация Pydantic v2. Режим доступа: https://docs.pydantic.dev/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10. Документация Docker Compose. Режим доступа: https://docs.docker.com/compose/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11. Pro Git book. Режим доступа: https://git-scm.com/book/ru/v2 (дата обращения 15.01.2026).</w:t>
      </w:r>
    </w:p>
    <w:p>
      <w:pPr>
        <w:spacing w:before="0" w:after="0" w:line="360" w:lineRule="auto"/>
        <w:contextualSpacing/>
        <w:ind w:firstLine="709" w:left="0"/>
        <w:jc w:val="both"/>
        <w:rPr>
          <w:rFonts w:ascii="Times New Roman" w:hAnsi="Times New Roman" w:eastAsia="Times New Roman"/>
          <w:sz w:val="28"/>
          <w:szCs w:val="28"/>
        </w:rPr>
      </w:pPr>
      <w:r>
        <w:rPr>
          <w:rFonts w:ascii="Times New Roman" w:hAnsi="Times New Roman" w:cs="Times New Roman" w:eastAsia="Times New Roman"/>
          <w:sz w:val="28"/>
          <w:szCs w:val="28"/>
        </w:rPr>
        <w:t xml:space="preserve">12. Conventional Commits 1.0.0. Режим доступа: https://www.conventionalcommits.org/ru/ (дата обращения 15.01.2026).</w:t>
      </w:r>
    </w:p>
    <w:sectPr>
      <w:footerReference w:type="default" r:id="rId7"/>
      <w:footerReference w:type="firs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020DC" w14:textId="77777777" w:rsidR="00564F49" w:rsidRDefault="00564F49" w:rsidP="00083343">
      <w:pPr>
        <w:spacing w:after="0" w:line="240" w:lineRule="auto"/>
      </w:pPr>
      <w:r>
        <w:separator/>
      </w:r>
    </w:p>
  </w:endnote>
  <w:endnote w:type="continuationSeparator" w:id="0">
    <w:p w14:paraId="216E06F6" w14:textId="77777777" w:rsidR="00564F49" w:rsidRDefault="00564F49" w:rsidP="00083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9F656" w14:textId="5F13CD27" w:rsidR="00083343" w:rsidRDefault="00083343" w:rsidP="00083343">
    <w:pPr>
      <w:pStyle w:val="ae"/>
      <w:jc w:val="center"/>
    </w:pPr>
    <w:r>
      <w:t>Москва,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0D459" w14:textId="120F43C2" w:rsidR="00083343" w:rsidRDefault="00083343" w:rsidP="00083343">
    <w:pPr>
      <w:pStyle w:val="ae"/>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E3B95" w14:textId="77777777" w:rsidR="00564F49" w:rsidRDefault="00564F49" w:rsidP="00083343">
      <w:pPr>
        <w:spacing w:after="0" w:line="240" w:lineRule="auto"/>
      </w:pPr>
      <w:r>
        <w:separator/>
      </w:r>
    </w:p>
  </w:footnote>
  <w:footnote w:type="continuationSeparator" w:id="0">
    <w:p w14:paraId="621AA3D0" w14:textId="77777777" w:rsidR="00564F49" w:rsidRDefault="00564F49" w:rsidP="000833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C1D"/>
    <w:rsid w:val="00083343"/>
    <w:rsid w:val="002412A4"/>
    <w:rsid w:val="00424C5B"/>
    <w:rsid w:val="00564F49"/>
    <w:rsid w:val="009E395B"/>
    <w:rsid w:val="00BE6D9B"/>
    <w:rsid w:val="00CA3C1D"/>
    <w:rsid w:val="00F800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32B7CB"/>
  <w15:chartTrackingRefBased/>
  <w15:docId w15:val="{76240885-A565-4D80-94CA-B37F9C3F6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343"/>
  </w:style>
  <w:style w:type="paragraph" w:styleId="1">
    <w:name w:val="heading 1"/>
    <w:basedOn w:val="a"/>
    <w:next w:val="a"/>
    <w:link w:val="10"/>
    <w:uiPriority w:val="9"/>
    <w:qFormat/>
    <w:rsid w:val="00CA3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A3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A3C1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CA3C1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CA3C1D"/>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CA3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A3C1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A3C1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A3C1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3C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A3C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A3C1D"/>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CA3C1D"/>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CA3C1D"/>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CA3C1D"/>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CA3C1D"/>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CA3C1D"/>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CA3C1D"/>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CA3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A3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3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Подзаголовок Знак"/>
    <w:basedOn w:val="a0"/>
    <w:link w:val="a5"/>
    <w:uiPriority w:val="11"/>
    <w:rsid w:val="00CA3C1D"/>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CA3C1D"/>
    <w:pPr>
      <w:spacing w:before="160"/>
      <w:jc w:val="center"/>
    </w:pPr>
    <w:rPr>
      <w:i/>
      <w:iCs/>
      <w:color w:val="404040" w:themeColor="text1" w:themeTint="BF"/>
    </w:rPr>
  </w:style>
  <w:style w:type="character" w:customStyle="1" w:styleId="22">
    <w:name w:val="Цитата 2 Знак"/>
    <w:basedOn w:val="a0"/>
    <w:link w:val="21"/>
    <w:uiPriority w:val="29"/>
    <w:rsid w:val="00CA3C1D"/>
    <w:rPr>
      <w:i/>
      <w:iCs/>
      <w:color w:val="404040" w:themeColor="text1" w:themeTint="BF"/>
    </w:rPr>
  </w:style>
  <w:style w:type="paragraph" w:styleId="a7">
    <w:name w:val="List Paragraph"/>
    <w:basedOn w:val="a"/>
    <w:uiPriority w:val="34"/>
    <w:qFormat/>
    <w:rsid w:val="00CA3C1D"/>
    <w:pPr>
      <w:ind w:left="720"/>
      <w:contextualSpacing/>
    </w:pPr>
  </w:style>
  <w:style w:type="character" w:styleId="a8">
    <w:name w:val="Intense Emphasis"/>
    <w:basedOn w:val="a0"/>
    <w:uiPriority w:val="21"/>
    <w:qFormat/>
    <w:rsid w:val="00CA3C1D"/>
    <w:rPr>
      <w:i/>
      <w:iCs/>
      <w:color w:val="0F4761" w:themeColor="accent1" w:themeShade="BF"/>
    </w:rPr>
  </w:style>
  <w:style w:type="paragraph" w:styleId="a9">
    <w:name w:val="Intense Quote"/>
    <w:basedOn w:val="a"/>
    <w:next w:val="a"/>
    <w:link w:val="aa"/>
    <w:uiPriority w:val="30"/>
    <w:qFormat/>
    <w:rsid w:val="00CA3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A3C1D"/>
    <w:rPr>
      <w:i/>
      <w:iCs/>
      <w:color w:val="0F4761" w:themeColor="accent1" w:themeShade="BF"/>
    </w:rPr>
  </w:style>
  <w:style w:type="character" w:styleId="ab">
    <w:name w:val="Intense Reference"/>
    <w:basedOn w:val="a0"/>
    <w:uiPriority w:val="32"/>
    <w:qFormat/>
    <w:rsid w:val="00CA3C1D"/>
    <w:rPr>
      <w:b/>
      <w:bCs/>
      <w:smallCaps/>
      <w:color w:val="0F4761" w:themeColor="accent1" w:themeShade="BF"/>
      <w:spacing w:val="5"/>
    </w:rPr>
  </w:style>
  <w:style w:type="paragraph" w:styleId="ac">
    <w:name w:val="header"/>
    <w:basedOn w:val="a"/>
    <w:link w:val="ad"/>
    <w:uiPriority w:val="99"/>
    <w:unhideWhenUsed/>
    <w:rsid w:val="0008334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83343"/>
  </w:style>
  <w:style w:type="paragraph" w:styleId="ae">
    <w:name w:val="footer"/>
    <w:basedOn w:val="a"/>
    <w:link w:val="af"/>
    <w:uiPriority w:val="99"/>
    <w:unhideWhenUsed/>
    <w:rsid w:val="0008334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83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1418-7A9F-4CD3-A5FD-050BB2649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Words>
  <Characters>323</Characters>
  <Application>Microsoft Office Word</Application>
  <DocSecurity>0</DocSecurity>
  <Lines>2</Lines>
  <Paragraphs>1</Paragraphs>
  <ScaleCrop>false</ScaleCrop>
  <Company/>
  <LinksUpToDate>false</LinksUpToDate>
  <CharactersWithSpaces>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Попиков</dc:creator>
  <cp:keywords/>
  <dc:description/>
  <cp:lastModifiedBy>Иван Попиков</cp:lastModifiedBy>
  <cp:revision>2</cp:revision>
  <dcterms:created xsi:type="dcterms:W3CDTF">2026-09-14T11:56:00Z</dcterms:created>
  <dcterms:modified xsi:type="dcterms:W3CDTF">2026-09-14T12:00:00Z</dcterms:modified>
</cp:coreProperties>
</file>