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color w:val="288800"/>
        </w:rPr>
      </w:pPr>
      <w:r w:rsidDel="00000000" w:rsidR="00000000" w:rsidRPr="00000000">
        <w:rPr>
          <w:color w:val="288800"/>
          <w:rtl w:val="0"/>
        </w:rPr>
        <w:t xml:space="preserve">Домашно: PHP Форми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Решете задачи 8, 9/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на лист!!!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/, 13, 21</w:t>
      </w:r>
      <w:r w:rsidDel="00000000" w:rsidR="00000000" w:rsidRPr="00000000">
        <w:rPr>
          <w:sz w:val="24"/>
          <w:szCs w:val="24"/>
          <w:rtl w:val="0"/>
        </w:rPr>
        <w:t xml:space="preserve"> от темата PHP – if/else &amp; switch. 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решението на задачите задължително трябва да има форми за подаване на входните данни. 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Формите трябва да притежават всички задължителни атрибути.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Решете задачите, като подавате данните през форми!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b="0" l="0" r="0" t="0"/>
          <wp:wrapNone/>
          <wp:docPr descr="logoArt" id="2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780000"/>
                        <a:ext cx="6772275" cy="0"/>
                      </a:xfrm>
                      <a:custGeom>
                        <a:rect b="b" l="l" r="r" t="t"/>
                        <a:pathLst>
                          <a:path extrusionOk="0" h="1" w="6772275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  <w:contextualSpacing w:val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