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 死锁(2.4)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https://chatgpt.com/g/g-p-6a4147b6a8088191bef869eb87bbe5c0-cao-zuo-xi-tong/c/6a6de103-7b38-83e8-99f4-3111526bb552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死锁的定义：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死锁产生的必要条件：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死锁的处理策略：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死锁的预防：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24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死锁的避免：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053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银行家算法避免死锁：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192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579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771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723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812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死锁检测与解除：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671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https://chatgpt.com/g/g-p-6a4147b6a8088191bef869eb87bbe5c0-cao-zuo-xi-tong/c/6a6ffb51-d96c-83ee-b4f0-8d6582823f15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概念：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资源静态分配策略：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478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死锁的避免与预防：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477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624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https://chatgpt.com/g/g-p-6a4147b6a8088191bef869eb87bbe5c0-cao-zuo-xi-tong/c/6a6ff64e-c99c-83ee-8aad-791e8df52a84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题：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题1：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290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题2：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91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86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https://chatgpt.com/g/g-p-6a4147b6a8088191bef869eb87bbe5c0-cao-zuo-xi-tong/c/6a6def89-db8c-83ee-975f-574141f2cc0e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题3：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859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967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96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763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https://chatgpt.com/g/g-p-6a4147b6a8088191bef869eb87bbe5c0-cao-zuo-xi-tong/c/6a6defca-c0a8-83ee-98e5-43673a39a693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题4：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0532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https://chatgpt.com/g/g-p-6a4147b6a8088191bef869eb87bbe5c0-cao-zuo-xi-tong/c/6a6f4a50-fa2c-83e8-8e97-5e34092f3884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题5：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865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https://chatgpt.com/g/g-p-6a4147b6a8088191bef869eb87bbe5c0-cao-zuo-xi-tong/c/6a6ff7ca-fb58-83ee-b295-e36175b83aa9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题6：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0150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题7：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9542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https://chatgpt.com/g/g-p-6a4147b6a8088191bef869eb87bbe5c0-cao-zuo-xi-tong/c/6a6fff39-5d8c-83ee-8d9a-55b7602f6f92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题8：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858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题9：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5282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https://chatgpt.com/g/g-p-6a4147b6a8088191bef869eb87bbe5c0-cao-zuo-xi-tong/c/6a7005b5-a09c-83ee-968d-019b8456572c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题10：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https://chatgpt.com/g/g-p-6a4147b6a8088191bef869eb87bbe5c0-cao-zuo-xi-tong/c/6a700611-d004-83e8-8ea0-9e8a0039ba9c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题11：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72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大于小于号写反了导致做错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题12：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055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题13：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https://chatgpt.com/g/g-p-6a4147b6a8088191bef869eb87bbe5c0-cao-zuo-xi-tong/c/6a700cdb-9994-83ee-b81b-bde09bb1ae18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题14：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57250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https://chatgpt.com/g/g-p-6a4147b6a8088191bef869eb87bbe5c0-cao-zuo-xi-tong/c/6a701cf0-8d68-83ee-a351-317400c9031c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题15：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23950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https://chatgpt.com/g/g-p-6a4147b6a8088191bef869eb87bbe5c0-cao-zuo-xi-tong/c/6a701e03-062c-83e8-b663-b2bd983afc8d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题16：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38200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https://chatgpt.com/g/g-p-6a4147b6a8088191bef869eb87bbe5c0-cao-zuo-xi-tong/c/6a702c48-2820-83e8-889c-f19e344e9e3c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4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media/image71.png" Type="http://schemas.openxmlformats.org/officeDocument/2006/relationships/image"/><Relationship Id="rId75" Target="media/image72.png" Type="http://schemas.openxmlformats.org/officeDocument/2006/relationships/image"/><Relationship Id="rId76" Target="media/image73.png" Type="http://schemas.openxmlformats.org/officeDocument/2006/relationships/image"/><Relationship Id="rId77" Target="media/image74.png" Type="http://schemas.openxmlformats.org/officeDocument/2006/relationships/image"/><Relationship Id="rId78" Target="header1.xml" Type="http://schemas.openxmlformats.org/officeDocument/2006/relationships/header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2026-08-24T12:56:52Z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{"Label":"1","ContentProducer":"001191110102MACQD9K64010000","ProduceID":"7677581321359346890","ReservedCode1":"","ContentPropagator":"","PropagateID":"","ReservedCode2":""}</vt:lpwstr>
  </property>
</Properties>
</file>