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2.2.5 运算方法和运算电路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题：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题1  判断溢出：</w:t>
      </w:r>
      <w:bookmarkEnd w:id="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" w:id="2"/>
      <w:r>
        <w:rPr>
          <w:rFonts w:eastAsia="等线" w:ascii="Arial" w:cs="Arial" w:hAnsi="Arial"/>
          <w:b w:val="true"/>
          <w:sz w:val="28"/>
        </w:rPr>
        <w:t>知识点：</w:t>
      </w:r>
      <w:bookmarkEnd w:id="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7721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77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3909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0035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b w:val="true"/>
          <w:sz w:val="28"/>
        </w:rPr>
        <w:t>题目：</w:t>
      </w:r>
      <w:bookmarkEnd w:id="3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76225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https://chatgpt.com/g/g-p-6a11c4b6ac5c8191b58411f17c43bc62-ji-zu/c/6a578da7-7fa0-83ee-9871-78dcf128aea1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 xml:space="preserve">题2 </w:t>
      </w:r>
      <w:bookmarkEnd w:id="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题目：</w:t>
      </w:r>
      <w:bookmarkEnd w:id="5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78130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30517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https://chatgpt.com/g/g-p-6a11c4b6ac5c8191b58411f17c43bc62-ji-zu/c/6a697377-5938-83e8-be8a-6d0d1b368f36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10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2026-08-24T13:06:09Z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{"Label":"1","ContentProducer":"001191110102MACQD9K64010000","ProduceID":"7677583718509677781","ReservedCode1":"","ContentPropagator":"","PropagateID":"","ReservedCode2":""}</vt:lpwstr>
  </property>
</Properties>
</file>