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级数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 xml:space="preserve">含对数因子的 </w:t>
      </w:r>
      <w:r>
        <w:rPr>
          <w:rFonts w:eastAsia="等线" w:ascii="Arial" w:cs="Arial" w:hAnsi="Arial"/>
          <w:b w:val="true"/>
          <w:sz w:val="3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b w:val="true"/>
          <w:sz w:val="32"/>
        </w:rPr>
        <w:t>-级数敛散性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一、级数基本形式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⋅(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⁡n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</m:oMath>
      </m:oMathPara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起点说明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从 2 开始，避免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⁡1=0</m:t>
          </m:r>
        </m:oMath>
      </m:oMathPara>
      <w:r>
        <w:rPr>
          <w:rFonts w:eastAsia="等线" w:ascii="Arial" w:cs="Arial" w:hAnsi="Arial"/>
          <w:sz w:val="22"/>
        </w:rPr>
        <w:t xml:space="preserve"> 导致分母为 0，若题目中级数起点为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，需忽略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 项（单一项不影响敛散性），从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n=2</m:t>
          </m:r>
        </m:oMath>
      </m:oMathPara>
      <w:r>
        <w:rPr>
          <w:rFonts w:eastAsia="等线" w:ascii="Arial" w:cs="Arial" w:hAnsi="Arial"/>
          <w:sz w:val="22"/>
        </w:rPr>
        <w:t xml:space="preserve"> 开始判断。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参数定义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m,a</m:t>
          </m:r>
        </m:oMath>
      </m:oMathPara>
      <w:r>
        <w:rPr>
          <w:rFonts w:eastAsia="等线" w:ascii="Arial" w:cs="Arial" w:hAnsi="Arial"/>
          <w:sz w:val="22"/>
        </w:rPr>
        <w:t xml:space="preserve"> 为任意实常数，是敛散性判断的核心变量；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对应标准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-级数的幂次（类比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为对数因子的幂次。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二、核心判别方法：积分判别法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[2,+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上满足：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x≥2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⁡x&gt;0</m:t>
          </m:r>
        </m:oMath>
      </m:oMathPara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f(x)&gt;0</m:t>
          </m:r>
        </m:oMath>
      </m:oMathPara>
      <w:r>
        <w:rPr>
          <w:rFonts w:eastAsia="等线" w:ascii="Arial" w:cs="Arial" w:hAnsi="Arial"/>
          <w:sz w:val="22"/>
        </w:rPr>
        <w:t>，天然满足；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连续：分母无零点、无间断点，函数连续；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单调递减：可通过求导验证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(x)&lt;0</m:t>
          </m:r>
        </m:oMath>
      </m:oMathPara>
      <w:r>
        <w:rPr>
          <w:rFonts w:eastAsia="等线" w:ascii="Arial" w:cs="Arial" w:hAnsi="Arial"/>
          <w:sz w:val="22"/>
        </w:rPr>
        <w:t xml:space="preserve">，无需死记求导过程，记住该形式函数在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[2,+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单调递减即可。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结论：级数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sz w:val="22"/>
        </w:rPr>
        <w:t xml:space="preserve"> 与反常积分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b w:val="true"/>
          <w:sz w:val="22"/>
        </w:rPr>
        <w:t>同敛散</w:t>
      </w:r>
      <w:r>
        <w:rPr>
          <w:rFonts w:eastAsia="等线" w:ascii="Arial" w:cs="Arial" w:hAnsi="Arial"/>
          <w:sz w:val="22"/>
        </w:rPr>
        <w:t>（积分收敛→级数收敛，积分发散→级数发散）。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三、敛散性分情况讨论（核心重点）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 xml:space="preserve">1. 当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m&gt;1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时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主导项分析：主导项为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，对应标准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-级数（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p=m&gt;1</m:t>
          </m:r>
        </m:oMath>
      </m:oMathPara>
      <w:r>
        <w:rPr>
          <w:rFonts w:eastAsia="等线" w:ascii="Arial" w:cs="Arial" w:hAnsi="Arial"/>
          <w:sz w:val="22"/>
        </w:rPr>
        <w:t>），本身收敛；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对数因子影响：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 增长远慢于任何正幂函数，无论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取何实数值，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⁡n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都无法改变级数的收敛性；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 xml:space="preserve">：级数收敛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 xml:space="preserve">2. 当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m&lt;1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时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主导项分析：主导项为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，对应标准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-级数（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p=m&lt;1</m:t>
          </m:r>
        </m:oMath>
      </m:oMathPara>
      <w:r>
        <w:rPr>
          <w:rFonts w:eastAsia="等线" w:ascii="Arial" w:cs="Arial" w:hAnsi="Arial"/>
          <w:sz w:val="22"/>
        </w:rPr>
        <w:t>），本身发散；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对数因子影响：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⁡n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无法抵消幂函数的发散趋势，无论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取何实数值，都不能改变级数的发散性；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 xml:space="preserve">：级数发散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 xml:space="preserve">3. 当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m=1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时（关键分界点）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级数简化为：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⁡n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变量替换求积分：令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，反常积分变为：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a&gt;1</m:t>
          </m:r>
        </m:oMath>
      </m:oMathPara>
      <w:r>
        <w:rPr>
          <w:rFonts w:eastAsia="等线" w:ascii="Arial" w:cs="Arial" w:hAnsi="Arial"/>
          <w:sz w:val="22"/>
        </w:rPr>
        <w:t xml:space="preserve">：积分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 xml:space="preserve"> 收敛（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-积分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p=a&gt;1</m:t>
          </m:r>
        </m:oMath>
      </m:oMathPara>
      <w:r>
        <w:rPr>
          <w:rFonts w:eastAsia="等线" w:ascii="Arial" w:cs="Arial" w:hAnsi="Arial"/>
          <w:sz w:val="22"/>
        </w:rPr>
        <w:t>）→ 级数收敛 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a≤1</m:t>
          </m:r>
        </m:oMath>
      </m:oMathPara>
      <w:r>
        <w:rPr>
          <w:rFonts w:eastAsia="等线" w:ascii="Arial" w:cs="Arial" w:hAnsi="Arial"/>
          <w:sz w:val="22"/>
        </w:rPr>
        <w:t>：积分发散 → 级数发散 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四、结论速查表（方便快速检索）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m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取值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a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取值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敛散性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m&gt;1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任意实数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m&lt;1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任意实数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m=1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a&gt;1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m=1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a≤1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五、典型例题（巩固记忆，贴合真题难度）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⁡n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m=2&gt;1</m:t>
          </m:r>
        </m:oMath>
      </m:oMathPara>
      <w:r>
        <w:rPr>
          <w:rFonts w:eastAsia="等线" w:ascii="Arial" w:cs="Arial" w:hAnsi="Arial"/>
          <w:sz w:val="22"/>
        </w:rPr>
        <w:t xml:space="preserve"> → 收敛；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&lt;1</m:t>
          </m:r>
        </m:oMath>
      </m:oMathPara>
      <w:r>
        <w:rPr>
          <w:rFonts w:eastAsia="等线" w:ascii="Arial" w:cs="Arial" w:hAnsi="Arial"/>
          <w:sz w:val="22"/>
        </w:rPr>
        <w:t xml:space="preserve"> → 发散；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⁡n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m=1,a=3&gt;1</m:t>
          </m:r>
        </m:oMath>
      </m:oMathPara>
      <w:r>
        <w:rPr>
          <w:rFonts w:eastAsia="等线" w:ascii="Arial" w:cs="Arial" w:hAnsi="Arial"/>
          <w:sz w:val="22"/>
        </w:rPr>
        <w:t xml:space="preserve"> → 收敛；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m=1,a=1</m:t>
          </m:r>
        </m:oMath>
      </m:oMathPara>
      <w:r>
        <w:rPr>
          <w:rFonts w:eastAsia="等线" w:ascii="Arial" w:cs="Arial" w:hAnsi="Arial"/>
          <w:sz w:val="22"/>
        </w:rPr>
        <w:t xml:space="preserve"> → 发散；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⁡n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m=1,a=0.5&lt;1</m:t>
          </m:r>
        </m:oMath>
      </m:oMathPara>
      <w:r>
        <w:rPr>
          <w:rFonts w:eastAsia="等线" w:ascii="Arial" w:cs="Arial" w:hAnsi="Arial"/>
          <w:sz w:val="22"/>
        </w:rPr>
        <w:t xml:space="preserve"> → 发散。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六、记忆技巧（避免混淆，快速解题）</w:t>
      </w:r>
      <w:bookmarkEnd w:id="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m&gt;1</m:t>
          </m:r>
        </m:oMath>
      </m:oMathPara>
      <w:r>
        <w:rPr>
          <w:rFonts w:eastAsia="等线" w:ascii="Arial" w:cs="Arial" w:hAnsi="Arial"/>
          <w:sz w:val="22"/>
        </w:rPr>
        <w:t xml:space="preserve"> 必收敛，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m&lt;1</m:t>
          </m:r>
        </m:oMath>
      </m:oMathPara>
      <w:r>
        <w:rPr>
          <w:rFonts w:eastAsia="等线" w:ascii="Arial" w:cs="Arial" w:hAnsi="Arial"/>
          <w:sz w:val="22"/>
        </w:rPr>
        <w:t xml:space="preserve"> 必发散，无需考虑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是主导因素）；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：仅当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m=1</m:t>
          </m:r>
        </m:oMath>
      </m:oMathPara>
      <w:r>
        <w:rPr>
          <w:rFonts w:eastAsia="等线" w:ascii="Arial" w:cs="Arial" w:hAnsi="Arial"/>
          <w:sz w:val="22"/>
        </w:rPr>
        <w:t xml:space="preserve"> 时，才需判断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，规律同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-积分（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a&gt;1</m:t>
          </m:r>
        </m:oMath>
      </m:oMathPara>
      <w:r>
        <w:rPr>
          <w:rFonts w:eastAsia="等线" w:ascii="Arial" w:cs="Arial" w:hAnsi="Arial"/>
          <w:sz w:val="22"/>
        </w:rPr>
        <w:t xml:space="preserve"> 收敛，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a≤1</m:t>
          </m:r>
        </m:oMath>
      </m:oMathPara>
      <w:r>
        <w:rPr>
          <w:rFonts w:eastAsia="等线" w:ascii="Arial" w:cs="Arial" w:hAnsi="Arial"/>
          <w:sz w:val="22"/>
        </w:rPr>
        <w:t xml:space="preserve"> 发散）；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本质理解：幂函数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增长速度远快于对数函数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，因此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决定敛散大方向，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仅在分界点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m=1</m:t>
          </m:r>
        </m:oMath>
      </m:oMathPara>
      <w:r>
        <w:rPr>
          <w:rFonts w:eastAsia="等线" w:ascii="Arial" w:cs="Arial" w:hAnsi="Arial"/>
          <w:sz w:val="22"/>
        </w:rPr>
        <w:t xml:space="preserve"> 时起作用。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0897">
    <w:lvl>
      <w:numFmt w:val="bullet"/>
      <w:suff w:val="tab"/>
      <w:lvlText w:val="•"/>
      <w:rPr>
        <w:color w:val="3370ff"/>
      </w:rPr>
    </w:lvl>
  </w:abstractNum>
  <w:abstractNum w:abstractNumId="620898">
    <w:lvl>
      <w:numFmt w:val="bullet"/>
      <w:suff w:val="tab"/>
      <w:lvlText w:val="•"/>
      <w:rPr>
        <w:color w:val="3370ff"/>
      </w:rPr>
    </w:lvl>
  </w:abstractNum>
  <w:abstractNum w:abstractNumId="620899">
    <w:lvl>
      <w:start w:val="1"/>
      <w:numFmt w:val="decimal"/>
      <w:suff w:val="tab"/>
      <w:lvlText w:val="%1."/>
      <w:rPr>
        <w:color w:val="3370ff"/>
      </w:rPr>
    </w:lvl>
  </w:abstractNum>
  <w:abstractNum w:abstractNumId="620900">
    <w:lvl>
      <w:start w:val="2"/>
      <w:numFmt w:val="decimal"/>
      <w:suff w:val="tab"/>
      <w:lvlText w:val="%1."/>
      <w:rPr>
        <w:color w:val="3370ff"/>
      </w:rPr>
    </w:lvl>
  </w:abstractNum>
  <w:abstractNum w:abstractNumId="620901">
    <w:lvl>
      <w:start w:val="3"/>
      <w:numFmt w:val="decimal"/>
      <w:suff w:val="tab"/>
      <w:lvlText w:val="%1."/>
      <w:rPr>
        <w:color w:val="3370ff"/>
      </w:rPr>
    </w:lvl>
  </w:abstractNum>
  <w:abstractNum w:abstractNumId="620902">
    <w:lvl>
      <w:numFmt w:val="bullet"/>
      <w:suff w:val="tab"/>
      <w:lvlText w:val="•"/>
      <w:rPr>
        <w:color w:val="3370ff"/>
      </w:rPr>
    </w:lvl>
  </w:abstractNum>
  <w:abstractNum w:abstractNumId="620903">
    <w:lvl>
      <w:numFmt w:val="bullet"/>
      <w:suff w:val="tab"/>
      <w:lvlText w:val="•"/>
      <w:rPr>
        <w:color w:val="3370ff"/>
      </w:rPr>
    </w:lvl>
  </w:abstractNum>
  <w:abstractNum w:abstractNumId="620904">
    <w:lvl>
      <w:numFmt w:val="bullet"/>
      <w:suff w:val="tab"/>
      <w:lvlText w:val="•"/>
      <w:rPr>
        <w:color w:val="3370ff"/>
      </w:rPr>
    </w:lvl>
  </w:abstractNum>
  <w:abstractNum w:abstractNumId="620905">
    <w:lvl>
      <w:numFmt w:val="bullet"/>
      <w:suff w:val="tab"/>
      <w:lvlText w:val="•"/>
      <w:rPr>
        <w:color w:val="3370ff"/>
      </w:rPr>
    </w:lvl>
  </w:abstractNum>
  <w:abstractNum w:abstractNumId="620906">
    <w:lvl>
      <w:numFmt w:val="bullet"/>
      <w:suff w:val="tab"/>
      <w:lvlText w:val="•"/>
      <w:rPr>
        <w:color w:val="3370ff"/>
      </w:rPr>
    </w:lvl>
  </w:abstractNum>
  <w:abstractNum w:abstractNumId="620907">
    <w:lvl>
      <w:numFmt w:val="bullet"/>
      <w:suff w:val="tab"/>
      <w:lvlText w:val="•"/>
      <w:rPr>
        <w:color w:val="3370ff"/>
      </w:rPr>
    </w:lvl>
  </w:abstractNum>
  <w:abstractNum w:abstractNumId="620908">
    <w:lvl>
      <w:numFmt w:val="bullet"/>
      <w:suff w:val="tab"/>
      <w:lvlText w:val="•"/>
      <w:rPr>
        <w:color w:val="3370ff"/>
      </w:rPr>
    </w:lvl>
  </w:abstractNum>
  <w:abstractNum w:abstractNumId="620909">
    <w:lvl>
      <w:numFmt w:val="bullet"/>
      <w:suff w:val="tab"/>
      <w:lvlText w:val="•"/>
      <w:rPr>
        <w:color w:val="3370ff"/>
      </w:rPr>
    </w:lvl>
  </w:abstractNum>
  <w:abstractNum w:abstractNumId="620910">
    <w:lvl>
      <w:start w:val="1"/>
      <w:numFmt w:val="decimal"/>
      <w:suff w:val="tab"/>
      <w:lvlText w:val="%1."/>
      <w:rPr>
        <w:color w:val="3370ff"/>
      </w:rPr>
    </w:lvl>
  </w:abstractNum>
  <w:abstractNum w:abstractNumId="620911">
    <w:lvl>
      <w:start w:val="2"/>
      <w:numFmt w:val="decimal"/>
      <w:suff w:val="tab"/>
      <w:lvlText w:val="%1."/>
      <w:rPr>
        <w:color w:val="3370ff"/>
      </w:rPr>
    </w:lvl>
  </w:abstractNum>
  <w:abstractNum w:abstractNumId="620912">
    <w:lvl>
      <w:start w:val="3"/>
      <w:numFmt w:val="decimal"/>
      <w:suff w:val="tab"/>
      <w:lvlText w:val="%1."/>
      <w:rPr>
        <w:color w:val="3370ff"/>
      </w:rPr>
    </w:lvl>
  </w:abstractNum>
  <w:abstractNum w:abstractNumId="620913">
    <w:lvl>
      <w:start w:val="4"/>
      <w:numFmt w:val="decimal"/>
      <w:suff w:val="tab"/>
      <w:lvlText w:val="%1."/>
      <w:rPr>
        <w:color w:val="3370ff"/>
      </w:rPr>
    </w:lvl>
  </w:abstractNum>
  <w:abstractNum w:abstractNumId="620914">
    <w:lvl>
      <w:start w:val="5"/>
      <w:numFmt w:val="decimal"/>
      <w:suff w:val="tab"/>
      <w:lvlText w:val="%1."/>
      <w:rPr>
        <w:color w:val="3370ff"/>
      </w:rPr>
    </w:lvl>
  </w:abstractNum>
  <w:abstractNum w:abstractNumId="620915">
    <w:lvl>
      <w:start w:val="1"/>
      <w:numFmt w:val="decimal"/>
      <w:suff w:val="tab"/>
      <w:lvlText w:val="%1."/>
      <w:rPr>
        <w:color w:val="3370ff"/>
      </w:rPr>
    </w:lvl>
  </w:abstractNum>
  <w:abstractNum w:abstractNumId="620916">
    <w:lvl>
      <w:start w:val="2"/>
      <w:numFmt w:val="decimal"/>
      <w:suff w:val="tab"/>
      <w:lvlText w:val="%1."/>
      <w:rPr>
        <w:color w:val="3370ff"/>
      </w:rPr>
    </w:lvl>
  </w:abstractNum>
  <w:abstractNum w:abstractNumId="62091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20897"/>
  </w:num>
  <w:num w:numId="2">
    <w:abstractNumId w:val="620898"/>
  </w:num>
  <w:num w:numId="3">
    <w:abstractNumId w:val="620899"/>
  </w:num>
  <w:num w:numId="4">
    <w:abstractNumId w:val="620900"/>
  </w:num>
  <w:num w:numId="5">
    <w:abstractNumId w:val="620901"/>
  </w:num>
  <w:num w:numId="6">
    <w:abstractNumId w:val="620902"/>
  </w:num>
  <w:num w:numId="7">
    <w:abstractNumId w:val="620903"/>
  </w:num>
  <w:num w:numId="8">
    <w:abstractNumId w:val="620904"/>
  </w:num>
  <w:num w:numId="9">
    <w:abstractNumId w:val="620905"/>
  </w:num>
  <w:num w:numId="10">
    <w:abstractNumId w:val="620906"/>
  </w:num>
  <w:num w:numId="11">
    <w:abstractNumId w:val="620907"/>
  </w:num>
  <w:num w:numId="12">
    <w:abstractNumId w:val="620908"/>
  </w:num>
  <w:num w:numId="13">
    <w:abstractNumId w:val="620909"/>
  </w:num>
  <w:num w:numId="14">
    <w:abstractNumId w:val="620910"/>
  </w:num>
  <w:num w:numId="15">
    <w:abstractNumId w:val="620911"/>
  </w:num>
  <w:num w:numId="16">
    <w:abstractNumId w:val="620912"/>
  </w:num>
  <w:num w:numId="17">
    <w:abstractNumId w:val="620913"/>
  </w:num>
  <w:num w:numId="18">
    <w:abstractNumId w:val="620914"/>
  </w:num>
  <w:num w:numId="19">
    <w:abstractNumId w:val="620915"/>
  </w:num>
  <w:num w:numId="20">
    <w:abstractNumId w:val="620916"/>
  </w:num>
  <w:num w:numId="21">
    <w:abstractNumId w:val="6209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2026-08-24T14:05:36Z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{"Label":"1","ContentProducer":"001191110102MACQD9K64010000","ProduceID":"7677599045901224908","ReservedCode1":"","ContentPropagator":"","PropagateID":"","ReservedCode2":""}</vt:lpwstr>
  </property>
</Properties>
</file>