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级数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sz w:val="22"/>
        </w:rPr>
        <w:t>关于括号的问题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加括号后收敛 ≠ 原级数收敛；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加括号后发散 ⇒ 原级数一定发散；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原级数收敛 ⇒ 任意加括号都收敛。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幂级数收敛半径（比值判别法）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对于幂级数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则收敛半径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 xml:space="preserve"> 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argPr>
                          <m:scrLvl m:val="0"/>
                        </m:argPr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ρ≠0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ρ=0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ρ=+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∞</m:t>
                    </m:r>
                  </m:e>
                </m:mr>
              </m:m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核心公式：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d>
            <m:dPr>
              <m:begChr m:val="|"/>
              <m:endChr m:val="|"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n+1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收敛半径分段定义：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ρ≠0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R=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ρ=0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R=+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（级数在全体实数收敛）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⟹</m:t>
          </m:r>
          <m:r>
            <w:rPr>
              <w:rFonts w:ascii="Cambria Math" w:hAnsi="Cambria Math"/>
            </w:rPr>
            <m:t>R=0</m:t>
          </m:r>
        </m:oMath>
      </m:oMathPara>
      <w:r>
        <w:rPr>
          <w:rFonts w:eastAsia="等线" w:ascii="Arial" w:cs="Arial" w:hAnsi="Arial"/>
          <w:sz w:val="22"/>
        </w:rPr>
        <w:t>（级数仅在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收敛）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起始项为 **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n=1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的等比级数求和公式：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=x+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起始项为 **</w:t>
      </w:r>
      <w:r>
        <w:rPr>
          <w:rFonts w:eastAsia="等线" w:ascii="Arial" w:cs="Arial" w:hAnsi="Arial"/>
          <w:b w:val="true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n=0</m:t>
          </m:r>
        </m:oMath>
      </m:oMathPara>
      <w:r>
        <w:rPr>
          <w:rFonts w:eastAsia="等线" w:ascii="Arial" w:cs="Arial" w:hAnsi="Arial"/>
          <w:b w:val="true"/>
          <w:sz w:val="22"/>
        </w:rPr>
        <w:t xml:space="preserve"> 的等比级数求和公式：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=1+x+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常见函数的幂级数展开式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 的幂级数展开式（收敛域：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x∈[−1,1]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⁡x=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2n+1</m:t>
              </m:r>
            </m:sup>
          </m:sSup>
          <m:r>
            <w:rPr>
              <w:rFonts w:ascii="Cambria Math" w:hAnsi="Cambria Math"/>
            </w:rPr>
            <m:t>=x−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2n+1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2n+1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的幂级数展开式（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a≠1</m:t>
          </m:r>
        </m:oMath>
      </m:oMathPara>
      <w:r>
        <w:rPr>
          <w:rFonts w:eastAsia="等线" w:ascii="Arial" w:cs="Arial" w:hAnsi="Arial"/>
          <w:sz w:val="22"/>
        </w:rPr>
        <w:t>，收敛域：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=1+x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⁡a+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⁡a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补充说明：当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a=e</m:t>
          </m:r>
        </m:oMath>
      </m:oMathPara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⁡e=1</m:t>
          </m:r>
        </m:oMath>
      </m:oMathPara>
      <w:r>
        <w:rPr>
          <w:rFonts w:eastAsia="等线" w:ascii="Arial" w:cs="Arial" w:hAnsi="Arial"/>
          <w:sz w:val="22"/>
        </w:rPr>
        <w:t xml:space="preserve">，此时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的展开式为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n!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（收敛域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 的幂级数展开式（收敛域：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x∈[−1,1]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(2n)!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n!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(2n+1)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2n+1</m:t>
              </m:r>
            </m:sup>
          </m:sSup>
          <m:r>
            <w:rPr>
              <w:rFonts w:ascii="Cambria Math" w:hAnsi="Cambria Math"/>
            </w:rPr>
            <m:t>=x+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112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(2n)!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2n+1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n!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(2n+1)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 的幂级数展开式（收敛域：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x∈[−1,1]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(2n)!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n!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(2n+1)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2n+1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展开式展开形式：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−x−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112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−⋯−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(2n)!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2n+1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n!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(2n+1)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 的展开式可由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 xml:space="preserve"> 推导得出（利用恒等式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arcsin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），二者收敛域一致，均为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[−1,1]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5.常用结论：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=−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⁡(1−x)</m:t>
          </m:r>
        </m:oMath>
      </m:oMathPara>
      <w:r>
        <w:rPr>
          <w:rFonts w:eastAsia="等线" w:ascii="Arial" w:cs="Arial" w:hAnsi="Arial"/>
          <w:sz w:val="22"/>
        </w:rPr>
        <w:t>，收敛域：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x∈[−1,1)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题目：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题目1.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（2009，数一）设有两个数列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</m:t>
          </m:r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},{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  <w:r>
        <w:rPr>
          <w:rFonts w:eastAsia="等线" w:ascii="Arial" w:cs="Arial" w:hAnsi="Arial"/>
          <w:sz w:val="22"/>
        </w:rPr>
        <w:t>，若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，则（）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A.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收敛时，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收敛。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B.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发散时，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发散。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C.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  <w:r>
        <w:rPr>
          <w:rFonts w:eastAsia="等线" w:ascii="Arial" w:cs="Arial" w:hAnsi="Arial"/>
          <w:sz w:val="22"/>
        </w:rPr>
        <w:t xml:space="preserve"> 收敛时，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收敛。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D.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  <w:r>
        <w:rPr>
          <w:rFonts w:eastAsia="等线" w:ascii="Arial" w:cs="Arial" w:hAnsi="Arial"/>
          <w:sz w:val="22"/>
        </w:rPr>
        <w:t xml:space="preserve"> 发散时，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sSubSup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  <w:r>
        <w:rPr>
          <w:rFonts w:eastAsia="等线" w:ascii="Arial" w:cs="Arial" w:hAnsi="Arial"/>
          <w:sz w:val="22"/>
        </w:rPr>
        <w:t xml:space="preserve"> 发散。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52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题目2：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在级数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hAnsi="Cambria Math"/>
            </w:rPr>
            <m:t>+⋯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③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n+1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n+2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④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n+2</m:t>
                  </m:r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中，发散级数的序号是______。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结合“加括号后收敛≠原级数收敛、加括号后发散⇒原级数发散、原级数收敛⇒任意加括号都收敛”的知识点，对四个级数逐一分析如下：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分析级数①：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该级数是加括号后的级数，先求其部分和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展开后逐项抵消，得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，计算极限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，因此**加括号后的级数①收敛**。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分析级数②：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级数②是级数①去掉括号后的原级数，其部分和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与级数①的部分和一致（因去掉括号不改变和的计算），即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，极限为1，因此**级数②收敛**。（此处特殊：加括号收敛，原级数也收敛，印证“加括号收敛≠原级数收敛”，即存在加括号收敛且原级数收敛的情况）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分析级数③：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+⋯+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n+1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n+2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级数③是去掉括号的原级数，需分奇偶项讨论其部分和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color w:val="d83931"/>
          <w:sz w:val="22"/>
        </w:rPr>
        <w:t>核心错误：此前未区分奇偶项，导致抵消判断失误）：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首先明确级数③的通项规律：从第二项起，两两互为相反数，即级数可写为：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分两种情况讨论部分和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为奇数时，设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n=2k−1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），此时部分和为：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2k−1</m:t>
              </m:r>
            </m:sub>
          </m:sSub>
          <m:r>
            <w:rPr>
              <w:rFonts w:ascii="Cambria Math" w:hAnsi="Cambria Math"/>
            </w:rPr>
            <m:t>=2+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所有成对的相反数全部抵消，剩余首项2，因此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2k−1</m:t>
              </m:r>
            </m:sub>
          </m:sSub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k→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2k−1</m:t>
              </m:r>
            </m:sub>
          </m:sSub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k→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>
            <w:rPr>
              <w:rFonts w:ascii="Cambria Math" w:hAnsi="Cambria Math"/>
            </w:rPr>
            <m:t>2=2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为偶数时，设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n=2k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k∈</m:t>
          </m:r>
          <m:sSup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∗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），此时部分和为：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2k</m:t>
              </m:r>
            </m:sub>
          </m:sSub>
          <m:r>
            <w:rPr>
              <w:rFonts w:ascii="Cambria Math" w:hAnsi="Cambria Math"/>
            </w:rPr>
            <m:t>=2+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k+1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k+2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成对的相反数全部抵消，剩余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k+2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2k</m:t>
              </m:r>
            </m:sub>
          </m:sSub>
          <m:r>
            <w:rPr>
              <w:rFonts w:ascii="Cambria Math" w:hAnsi="Cambria Math"/>
            </w:rPr>
            <m:t>=2−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k+2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k→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2k</m:t>
              </m:r>
            </m:sub>
          </m:sSub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k→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k+1</m:t>
                  </m:r>
                </m:den>
              </m:f>
            </m:e>
          </m:d>
          <m:r>
            <w:rPr>
              <w:rFonts w:ascii="Cambria Math" w:hAnsi="Cambria Math"/>
            </w:rPr>
            <m:t>=1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根据极限存在的充要条件：奇数项部分和的极限（2）≠ 偶数项部分和的极限（1），因此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不存在，故**级数③发散**。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分析级数④：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+⋯+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n+1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n+2</m:t>
                  </m:r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</m:e>
          </m:d>
          <m:r>
            <w:rPr>
              <w:rFonts w:ascii="Cambria Math" w:hAnsi="Cambria Math"/>
            </w:rPr>
            <m:t>+⋯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该级数是加括号后的级数，其部分和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与级数③的部分和一致，即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，极限为1，因此**加括号后的级数④收敛**。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题目3：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38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817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题目4：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791075" cy="11239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52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题目5：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求幂级数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n(n+1)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的收敛域及和函数。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660基础篇P175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题目6：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求幂级数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(n+1)(n+3)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  <w:r>
        <w:rPr>
          <w:rFonts w:eastAsia="等线" w:ascii="Arial" w:cs="Arial" w:hAnsi="Arial"/>
          <w:sz w:val="22"/>
        </w:rPr>
        <w:t xml:space="preserve"> 的收敛域及和函数。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660基础篇P175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题目7：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求级数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n+1</m:t>
              </m:r>
            </m:num>
            <m:den>
              <m:r>
                <w:rPr>
                  <w:rFonts w:ascii="Cambria Math" w:hAnsi="Cambria Math"/>
                </w:rPr>
                <m:t>(2n+1)!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的和。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197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100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题目8：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求级数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n−1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n</m:t>
              </m:r>
              <m:sSup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 的和。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5302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傅里叶级数：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一、傅里叶级数的概念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是周期为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2l</m:t>
          </m:r>
        </m:oMath>
      </m:oMathPara>
      <w:r>
        <w:rPr>
          <w:rFonts w:eastAsia="等线" w:ascii="Arial" w:cs="Arial" w:hAnsi="Arial"/>
          <w:sz w:val="22"/>
        </w:rPr>
        <w:t>（常用周期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l=π</m:t>
          </m:r>
        </m:oMath>
      </m:oMathPara>
      <w:r>
        <w:rPr>
          <w:rFonts w:eastAsia="等线" w:ascii="Arial" w:cs="Arial" w:hAnsi="Arial"/>
          <w:sz w:val="22"/>
        </w:rPr>
        <w:t>）的周期函数，且在区间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[−l,l]</m:t>
          </m:r>
        </m:oMath>
      </m:oMathPara>
      <w:r>
        <w:rPr>
          <w:rFonts w:eastAsia="等线" w:ascii="Arial" w:cs="Arial" w:hAnsi="Arial"/>
          <w:sz w:val="22"/>
        </w:rPr>
        <w:t>上可积，则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的傅里叶级数定义为：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f(x)∼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nπx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nπx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说明：符号“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∼</m:t>
          </m:r>
        </m:oMath>
      </m:oMathPara>
      <w:r>
        <w:rPr>
          <w:rFonts w:eastAsia="等线" w:ascii="Arial" w:cs="Arial" w:hAnsi="Arial"/>
          <w:sz w:val="22"/>
        </w:rPr>
        <w:t>”表示右边的级数是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的傅里叶级数，不一定收敛于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满足狄利克雷收敛条件时，级数在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的连续点处收敛于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，在间断点处收敛于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</m:sup>
              </m:sSup>
              <m:r>
                <w:rPr>
                  <w:rFonts w:ascii="Cambria Math" w:hAnsi="Cambria Math"/>
                </w:rPr>
                <m:t>)+f(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特殊情况（周期为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l=π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f(x)∼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(</m:t>
              </m:r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⁡nx+</m:t>
              </m:r>
              <m:sSub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⁡nx)</m:t>
              </m:r>
            </m:e>
          </m:nary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 二、傅里叶系数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的求法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傅里叶系数由三角函数系的正交性推导得出，核心公式如下（分两种周期情况）：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1. 周期为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2l</m:t>
          </m:r>
        </m:oMath>
      </m:oMathPara>
      <w:r>
        <w:rPr>
          <w:rFonts w:eastAsia="等线" w:ascii="Arial" w:cs="Arial" w:hAnsi="Arial"/>
          <w:sz w:val="22"/>
        </w:rPr>
        <w:t>（一般情况）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[−l,l]</m:t>
          </m:r>
        </m:oMath>
      </m:oMathPara>
      <w:r>
        <w:rPr>
          <w:rFonts w:eastAsia="等线" w:ascii="Arial" w:cs="Arial" w:hAnsi="Arial"/>
          <w:sz w:val="22"/>
        </w:rPr>
        <w:t>上可积，则系数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的计算公式为：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−l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/>
          </m:nary>
          <m:r>
            <w:rPr>
              <w:rFonts w:ascii="Cambria Math" w:hAnsi="Cambria Math"/>
            </w:rPr>
            <m:t>f(x)dx</m:t>
          </m:r>
        </m:oMath>
      </m:oMathPara>
      <w:r>
        <w:rPr>
          <w:rFonts w:eastAsia="等线" w:ascii="Arial" w:cs="Arial" w:hAnsi="Arial"/>
          <w:sz w:val="22"/>
        </w:rPr>
        <w:t>（常数项系数，与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无关）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−l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/>
          </m:nary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nπx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(n=1,2,3,⋯)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−l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/>
          </m:nary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nπx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dx</m:t>
          </m:r>
          <m:r>
            <w:rPr>
              <w:rFonts w:ascii="Cambria Math" w:hAnsi="Cambria Math"/>
            </w:rPr>
            <m:t>(n=1,2,3,⋯)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2. 周期为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2π</m:t>
          </m:r>
        </m:oMath>
      </m:oMathPara>
      <w:r>
        <w:rPr>
          <w:rFonts w:eastAsia="等线" w:ascii="Arial" w:cs="Arial" w:hAnsi="Arial"/>
          <w:sz w:val="22"/>
        </w:rPr>
        <w:t>（常用情况，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l=π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l=π</m:t>
          </m:r>
        </m:oMath>
      </m:oMathPara>
      <w:r>
        <w:rPr>
          <w:rFonts w:eastAsia="等线" w:ascii="Arial" w:cs="Arial" w:hAnsi="Arial"/>
          <w:sz w:val="22"/>
        </w:rPr>
        <w:t>，系数公式简化为：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/>
          </m:nary>
          <m:r>
            <w:rPr>
              <w:rFonts w:ascii="Cambria Math" w:hAnsi="Cambria Math"/>
            </w:rPr>
            <m:t>f(x)dx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/>
          </m:nary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⁡nxdx</m:t>
          </m:r>
          <m:r>
            <w:rPr>
              <w:rFonts w:ascii="Cambria Math" w:hAnsi="Cambria Math"/>
            </w:rPr>
            <m:t>(n=1,2,3,⋯)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−π</m:t>
              </m:r>
            </m:sub>
            <m:sup>
              <m:r>
                <w:rPr>
                  <w:rFonts w:ascii="Cambria Math" w:hAnsi="Cambria Math"/>
                </w:rPr>
                <m:t>π</m:t>
              </m:r>
            </m:sup>
            <m:e/>
          </m:nary>
          <m:r>
            <w:rPr>
              <w:rFonts w:ascii="Cambria Math" w:hAnsi="Cambria Math"/>
            </w:rPr>
            <m:t>f(x)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⁡nxdx</m:t>
          </m:r>
          <m:r>
            <w:rPr>
              <w:rFonts w:ascii="Cambria Math" w:hAnsi="Cambria Math"/>
            </w:rPr>
            <m:t>(n=1,2,3,⋯)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#### 补充说明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[−l,l]</m:t>
          </m:r>
        </m:oMath>
      </m:oMathPara>
      <w:r>
        <w:rPr>
          <w:rFonts w:eastAsia="等线" w:ascii="Arial" w:cs="Arial" w:hAnsi="Arial"/>
          <w:sz w:val="22"/>
        </w:rPr>
        <w:t>上的偶函数，则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（正弦项系数为0），傅里叶级数退化为余弦级数：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f(x)∼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nπx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[−l,l]</m:t>
          </m:r>
        </m:oMath>
      </m:oMathPara>
      <w:r>
        <w:rPr>
          <w:rFonts w:eastAsia="等线" w:ascii="Arial" w:cs="Arial" w:hAnsi="Arial"/>
          <w:sz w:val="22"/>
        </w:rPr>
        <w:t>上的奇函数，则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（常数项和余弦项系数为0），傅里叶级数退化为正弦级数：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f(x)∼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nπx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题目：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题1.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f(x)=2+|x|(−1⩽x⩽1)</m:t>
          </m:r>
        </m:oMath>
      </m:oMathPara>
      <w:r>
        <w:rPr>
          <w:rFonts w:eastAsia="等线" w:ascii="Arial" w:cs="Arial" w:hAnsi="Arial"/>
          <w:sz w:val="22"/>
        </w:rPr>
        <w:t>展开成以2为周期的傅里叶级数，并由此求级数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type m:val="bar"/>
                </m:fPr>
                <m:num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  <w:r>
        <w:rPr>
          <w:rFonts w:eastAsia="等线" w:ascii="Arial" w:cs="Arial" w:hAnsi="Arial"/>
          <w:sz w:val="22"/>
        </w:rPr>
        <w:t>的和。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狄利克雷收敛定理：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jpe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jpeg" Type="http://schemas.openxmlformats.org/officeDocument/2006/relationships/image"/><Relationship Id="rId17" Target="media/image14.jpeg" Type="http://schemas.openxmlformats.org/officeDocument/2006/relationships/image"/><Relationship Id="rId18" Target="media/image15.jpe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2026-08-24T13:50:38Z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{"Label":"1","ContentProducer":"001191110102MACQD9K64010000","ProduceID":"7677595170598423504","ReservedCode1":"","ContentPropagator":"","PropagateID":"","ReservedCode2":""}</vt:lpwstr>
  </property>
</Properties>
</file>