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32"/>
        </w:rPr>
        <w:t>算力约束下质量与规模的联合配置及结构转移分析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32"/>
        </w:rPr>
        <w:t>摘 要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有限算力下参数量、数据量、领域配比与治理质量的配置问题，考虑质量处理对训练Token的挤占及长上下文的额外开销。承接前两问的17域质量与13域响应，以实际训练配方凸包限制配比搜索，将质量收益作为需校准的桥接情景，建立三项成本一致的联合优化模型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预算可行方向推导质量投入判据，并得到规模弹性比等于一减治理成本份额的局部必要关系。采用多起点约束求解、真实配方锚点扩展及独立求解器对照，以四组消融区分规模、配比、治理与联合调整；同时用近等价搜索、预算加密和情景一致性排查表面结构变化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同域联合配置的预测平均Loss相对内部规模基线改善4.16%至5.81%，但165个场景中162个至少一个评测域退步。注意力与训练成本相当的临界上下文长度为30000。对齐质量提升端点价格后，55组中19组的最优成本形式改变；质量上界处治理份额下降也不代表绝对投入减少。按70%情景支持规则未发现稳健联合结构转移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果提供三个预算量级的N/D/Q及完整17域配方，并区分有限候选推荐、机制比较与稳健情景选择。结论限于交接响应与治理假设；半合成质量数据、规模外推及上游独立验证资料不足，使其不能直接解释为真实训练收益或全局最优保证。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算力约束；质量治理；资源替代；领域配比；结构性转移</w:t>
      </w:r>
    </w:p>
    <w:p>
      <w:r>
        <w:br w:type="page"/>
      </w:r>
    </w:p>
    <w:p>
      <w:pPr>
        <w:keepNext/>
        <w:pageBreakBefore w:val="0"/>
        <w:spacing w:before="160" w:after="8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1  问题分析、数据与基本假设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问题三要求在算力约束下同时考虑参数规模、训练数据量、领域配比与质量治理，并判断预算跨越多个数量级时策略是否发生结构性变化。规模与数据的算力分配已有经验研究基础[1]，但题给质量处理和注意力开销会改变资源替代关系。因此，不能仅沿用训练成本约束，也不能预设高预算必然对应更高质量投入份额。本文承接前两问的可执行响应与质量数据，先建立条件优化模型，再分开检验机制收益、数值求解和结论稳健性。总体关系见图1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540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图1  质量、配方及规模响应的衔接与联合求解流程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基本假设为：前两问交付参数在本次条件分析中固定；13个评测域等权，不预设业务优先级；治理质量的收益通过跨数据源桥接表达，该桥接尚未独立校准；训练、注意力和质量处理使用相同Token量；上下文长度由架构与任务外生确定；配比仅在实际训练配方的凸包内变化。N与D的上下界是公开的计算范围，而非附件识别出的自然极限，其影响另做敏感性检验。主要符号见表1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表1  主要符号与单位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268"/>
      </w:tblGrid>
      <w:tr>
        <w:trPr>
          <w:cantSplit/>
          <w:tblHeader/>
        </w:trPr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符号</w:t>
            </w:r>
          </w:p>
        </w:tc>
        <w:tc>
          <w:tcPr>
            <w:tcW w:type="dxa" w:w="5102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含义</w:t>
            </w:r>
          </w:p>
        </w:tc>
        <w:tc>
          <w:tcPr>
            <w:tcW w:type="dxa" w:w="2268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单位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r>
                <m:t>N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参数个数、训练Token总数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个、Token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r>
                <m:t>n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N与D分别除以十亿后的数值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十亿参数、十亿Token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第i训练域配比、交接的固定基础质量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b>
                <m:e>
                  <m:r>
                    <m:t>q</m:t>
                  </m:r>
                </m:e>
                <m:sub>
                  <m:r>
                    <m:rPr>
                      <m:lit m:val="1"/>
                      <m:sty m:val="p"/>
                    </m:rPr>
                    <m:t>m</m:t>
                  </m:r>
                  <m:r>
                    <m:rPr>
                      <m:lit m:val="1"/>
                      <m:sty m:val="p"/>
                    </m:rPr>
                    <m:t>i</m:t>
                  </m:r>
                  <m:r>
                    <m:rPr>
                      <m:lit m:val="1"/>
                      <m:sty m:val="p"/>
                    </m:rPr>
                    <m:t>x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按配比加权的基础质量诊断量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治理基线质量、治理情景中的决策质量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第k评测域Loss、13域平均Loss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nats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rPr>
                      <m:lit m:val="1"/>
                      <m:sty m:val="p"/>
                    </m:rPr>
                    <m:t>u</m:t>
                  </m:r>
                  <m:r>
                    <m:rPr>
                      <m:lit m:val="1"/>
                      <m:sty m:val="p"/>
                    </m:rPr>
                    <m:t>s</m:t>
                  </m:r>
                  <m:r>
                    <m:rPr>
                      <m:lit m:val="1"/>
                      <m:sty m:val="p"/>
                    </m:rPr>
                    <m:t>e</m:t>
                  </m:r>
                  <m:r>
                    <m:rPr>
                      <m:lit m:val="1"/>
                      <m:sty m:val="p"/>
                    </m:rPr>
                    <m:t>d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给定预算、实际计算成本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FLOPs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b>
                <m:e>
                  <m:r>
                    <m:t>L</m:t>
                  </m:r>
                </m:e>
                <m:sub>
                  <m:r>
                    <m:rPr>
                      <m:lit m:val="1"/>
                      <m:sty m:val="p"/>
                    </m:rPr>
                    <m:t>c</m:t>
                  </m:r>
                  <m:r>
                    <m:rPr>
                      <m:lit m:val="1"/>
                      <m:sty m:val="p"/>
                    </m:rPr>
                    <m:t>t</m:t>
                  </m:r>
                  <m:r>
                    <m:rPr>
                      <m:lit m:val="1"/>
                      <m:sty m:val="p"/>
                    </m:rP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η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外生上下文长度、注意力成本系数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Token、题给系数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r>
                <m:t>a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训练与注意力合并系数、单位Token增量治理成本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系数、FLOPs/Token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r>
                <m:t>κ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治理占实际成本比例、质量收益桥接强度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r>
                <m:t>τ</m:t>
              </m:r>
              <m:r>
                <m:rPr>
                  <m:sty m:val="p"/>
                </m:rPr>
                <m:t>,</m:t>
              </m:r>
              <m:r>
                <m:t>ϵ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5102"/>
          </w:tcPr>
          <w:p>
            <w:pPr>
              <w:keepNext w:val="0"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有效配比支持阈值、近等价Loss容差</w:t>
            </w:r>
          </w:p>
        </w:tc>
        <w:tc>
          <w:tcPr>
            <w:tcW w:type="dxa" w:w="2268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无量纲、nats</w:t>
            </w:r>
          </w:p>
        </w:tc>
      </w:tr>
    </w:tbl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数据衔接见表2。训练领域17项质量实际只有6个不同取值，反映跨体系映射后的信息粒度；不能把这些值解释成17个独立估计的治理潜力。定义以下三个量，并将治理决策Q与配比加权诊断量区分：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r>
            <m:t>n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/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/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rPr>
                  <m:lit m:val="1"/>
                  <m:sty m:val="p"/>
                </m:rPr>
                <m:t>m</m:t>
              </m:r>
              <m:r>
                <m:rPr>
                  <m:lit m:val="1"/>
                  <m:sty m:val="p"/>
                </m:rPr>
                <m:t>i</m:t>
              </m:r>
              <m:r>
                <m:rPr>
                  <m:lit m:val="1"/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17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17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17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主情景取</w:t>
      </w:r>
      <m:oMath xmlns:m="http://schemas.openxmlformats.org/officeDocument/2006/math"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0.6219326581278445</m:t>
        </m:r>
      </m:oMath>
      <w:r>
        <w:rPr>
          <w:rFonts w:ascii="Times New Roman" w:hAnsi="Times New Roman" w:eastAsia="宋体"/>
          <w:b w:val="0"/>
          <w:sz w:val="24"/>
        </w:rPr>
        <w:t>；训练平均配方加权的0.6193580511629503作为另一基线敏感性情景。Q改变的是假设的总体治理水平，本文不直接修改固定领域质量向量。各领域的可达提升幅度尚无观测，因而不建立未经识别的逐域治理函数。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表2  输入信息及其解释边界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4252"/>
        <w:gridCol w:w="3345"/>
      </w:tblGrid>
      <w:tr>
        <w:trPr>
          <w:cantSplit/>
          <w:tblHeader/>
        </w:trPr>
        <w:tc>
          <w:tcPr>
            <w:tcW w:type="dxa" w:w="1474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来源</w:t>
            </w:r>
          </w:p>
        </w:tc>
        <w:tc>
          <w:tcPr>
            <w:tcW w:type="dxa" w:w="4252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实际使用的信息</w:t>
            </w:r>
          </w:p>
        </w:tc>
        <w:tc>
          <w:tcPr>
            <w:tcW w:type="dxa" w:w="3345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解释边界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第一问交接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17域质量，约0.4785至0.7095；A4的512行训练配方</w:t>
            </w:r>
          </w:p>
        </w:tc>
        <w:tc>
          <w:tcPr>
            <w:tcW w:type="dxa" w:w="334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质量仅6种取值；凸包保证配比几何支持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第二问交接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34维配方特征、13域响应、规模参数及求值器</w:t>
            </w:r>
          </w:p>
        </w:tc>
        <w:tc>
          <w:tcPr>
            <w:tcW w:type="dxa" w:w="334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沿用参数；原拟合脚本和训练/留出ID未完整交付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B7质量部分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450条半合成记录所给质量标度律参数</w:t>
            </w:r>
          </w:p>
        </w:tc>
        <w:tc>
          <w:tcPr>
            <w:tcW w:type="dxa" w:w="334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跨数据源收益桥接未独立校准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C7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2048、4096、8192、32768、131072</w:t>
            </w:r>
          </w:p>
        </w:tc>
        <w:tc>
          <w:tcPr>
            <w:tcW w:type="dxa" w:w="334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仅作为外生上下文的可行取值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规模支持</w:t>
            </w:r>
          </w:p>
        </w:tc>
        <w:tc>
          <w:tcPr>
            <w:tcW w:type="dxa" w:w="4252"/>
          </w:tcPr>
          <w:p>
            <w:pPr>
              <w:keepNext w:val="0"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1M/1B、60M/1B、1B/25B三组N/D尺度</w:t>
            </w:r>
          </w:p>
        </w:tc>
        <w:tc>
          <w:tcPr>
            <w:tcW w:type="dxa" w:w="3345"/>
          </w:tcPr>
          <w:p>
            <w:pPr>
              <w:keepNext w:val="0"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本次正式优化点均按规模条件外推解释</w:t>
            </w:r>
          </w:p>
        </w:tc>
      </w:tr>
    </w:tbl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配方回归及跨规模迁移的研究为接口组织提供方法背景[2]，不替代本题实测证据。图2同时展示直接支持尺度与优化配置：处于512行配方凸包内，仍不代表任意N/D处的预测都获观测支持。A6至A11仅用于交接函数残差复算；在上游划分未知时，不能称为本问的新独立留出验证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图2  三个直接支持尺度与原联合配置的规模位置；所有优化结果按条件外推解释</w:t>
      </w:r>
    </w:p>
    <w:p>
      <w:pPr>
        <w:keepNext/>
        <w:pageBreakBefore w:val="0"/>
        <w:spacing w:before="160" w:after="8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2  质量感知的联合资源模型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2.1  配方与规模响应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令i对应17个训练域、k对应13个评测域。对配比加入0.001平滑量后构造成分对数比，再与固定质量加权配比组成34维特征；使用第二问交付的均值、尺度和回归参数，不重新拟合：</w:t>
      </w:r>
    </w:p>
    <w:p>
      <w:pPr>
        <w:keepNext/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rPr>
                  <m:lit m:val="1"/>
                  <m:sty m:val="p"/>
                </m:rPr>
                <m:t>clr</m:t>
              </m:r>
            </m:e>
            <m:sub>
              <m:r>
                <m:t>δ</m:t>
              </m:r>
            </m:sub>
          </m:sSub>
          <m:sSub>
            <m:e>
              <m:d>
                <m:dPr>
                  <m:begChr m:val="("/>
                  <m:endChr m:val=")"/>
                  <m:grow m:val="0"/>
                </m:dPr>
                <m:e>
                  <m:r>
                    <m:t>p</m:t>
                  </m:r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lit m:val="1"/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17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17</m:t>
              </m:r>
            </m:sup>
            <m:e>
              <m:r>
                <m:rPr>
                  <m:lit m:val="1"/>
                  <m:sty m:val="p"/>
                </m:rPr>
                <m:t>ln</m:t>
              </m:r>
            </m:e>
          </m:nary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r>
            <m:t>0.001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(2)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⊙</m:t>
          </m:r>
          <m:r>
            <m:t>q</m:t>
          </m:r>
          <m:r>
            <m:rPr>
              <m:sty m:val="p"/>
            </m:rPr>
            <m:t>,</m:t>
          </m:r>
          <m:sSub>
            <m:e>
              <m:r>
                <m:rPr>
                  <m:lit m:val="1"/>
                  <m:sty m:val="p"/>
                </m:rPr>
                <m:t>clr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σ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θ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z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(3)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特征按前17个质量加权配比、后17个成分对数比拼接，乘积和标准化按分量进行。式中回归截距、系数、均值、尺度、响应中心与响应斜率均取交接参数；零中心化的配方项表示相对响应。规模幅度与总响应为：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 m:val="0"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0.001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k</m:t>
                  </m:r>
                </m:sub>
              </m:sSub>
            </m:sup>
          </m:sSup>
          <m:sSup>
            <m:e>
              <m:d>
                <m:dPr>
                  <m:begChr m:val="("/>
                  <m:endChr m:val=")"/>
                  <m:grow m:val="0"/>
                </m:dPr>
                <m:e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ζ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</m:sup>
          </m:sSup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sSub>
            <m:e>
              <m:r>
                <m:rPr>
                  <m:sty m:val="p"/>
                </m:rPr>
                <m:t>Φ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(4)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其中</w:t>
      </w:r>
      <m:oMath xmlns:m="http://schemas.openxmlformats.org/officeDocument/2006/math">
        <m:r>
          <m:t>α</m:t>
        </m:r>
      </m:oMath>
      <w:r>
        <w:rPr>
          <w:rFonts w:ascii="Times New Roman" w:hAnsi="Times New Roman" w:eastAsia="宋体"/>
          <w:b w:val="0"/>
          <w:sz w:val="24"/>
        </w:rPr>
        <w:t>与</w:t>
      </w:r>
      <m:oMath xmlns:m="http://schemas.openxmlformats.org/officeDocument/2006/math">
        <m:r>
          <m:t>β</m:t>
        </m:r>
      </m:oMath>
      <w:r>
        <w:rPr>
          <w:rFonts w:ascii="Times New Roman" w:hAnsi="Times New Roman" w:eastAsia="宋体"/>
          <w:b w:val="0"/>
          <w:sz w:val="24"/>
        </w:rPr>
        <w:t>均为0.29318264389038085，领域尺度指数与注意力系数</w:t>
      </w:r>
      <m:oMath xmlns:m="http://schemas.openxmlformats.org/officeDocument/2006/math">
        <m:r>
          <m:t>η</m:t>
        </m:r>
      </m:oMath>
      <w:r>
        <w:rPr>
          <w:rFonts w:ascii="Times New Roman" w:hAnsi="Times New Roman" w:eastAsia="宋体"/>
          <w:b w:val="0"/>
          <w:sz w:val="24"/>
        </w:rPr>
        <w:t>含义不同。上游接口虽允许同比例缩放领域质量，但固定质量数据不能识别这种缩放的真实效果，故不把该接口用作治理收益。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2.2  治理质量的条件收益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采用第二问质量部分交付的B7表达式，以十亿为N/D单位：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F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0.9654077057</m:t>
          </m:r>
          <m:r>
            <m:rPr>
              <m:sty m:val="p"/>
            </m:rPr>
            <m:t>+</m:t>
          </m:r>
          <m:r>
            <m:t>0.5307187920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0.2825</m:t>
              </m:r>
            </m:sup>
          </m:sSup>
          <m:r>
            <m:rPr>
              <m:sty m:val="p"/>
            </m:rPr>
            <m:t>+</m:t>
          </m:r>
          <m:r>
            <m:t>1.6157571765</m:t>
          </m:r>
          <m:sSup>
            <m:e>
              <m:d>
                <m:dPr>
                  <m:begChr m:val="("/>
                  <m:endChr m:val=")"/>
                  <m:grow m:val="0"/>
                </m:dPr>
                <m:e>
                  <m:r>
                    <m:t>d</m:t>
                  </m:r>
                  <m:r>
                    <m:t>Q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0.108</m:t>
              </m:r>
            </m:sup>
          </m:sSup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(5)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上式为显示舍入，执行使用交接文件全精度。主情景使用比值桥接，加性桥接用于判断结果对函数拼接方式的敏感性：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Sup>
            <m:e>
              <m:r>
                <m:t>L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t>κ</m:t>
              </m:r>
            </m:sup>
          </m:sSup>
          <m:r>
            <m:rPr>
              <m:sty m:val="p"/>
            </m:rPr>
            <m:t>,</m:t>
          </m:r>
          <m:r>
            <m:t> </m:t>
          </m:r>
          <m:sSubSup>
            <m:e>
              <m:r>
                <m:t>L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κ</m:t>
          </m:r>
          <m:r>
            <m:rPr>
              <m:sty m:val="p"/>
            </m:rPr>
            <m:t>[</m:t>
          </m:r>
          <m:sSub>
            <m:e>
              <m:r>
                <m:t>F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(6)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两者在</w:t>
      </w:r>
      <m:oMath xmlns:m="http://schemas.openxmlformats.org/officeDocument/2006/math"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时均回接第二问。主强度为1，正收益敏感性取0.5、1、1.5，零收益负对照取0。固定N/D/Q时，比值为正、加性增量与配比无关，两者都保持配方排序。因此，联合优化产生的非加性应解释为预算共享及资源重分配，不能声称识别了直接的质量与配方因果交互。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2.3  成本、可行域与上下文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三类单位Token质量成本见表3。扣除基线后只计增量，图3展示实际进入预算的增量曲线。对数形式在Q=1时有限，不能当作趋于无穷的质量屏障。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表3  质量成本函数及题给参数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3969"/>
        <w:gridCol w:w="3628"/>
      </w:tblGrid>
      <w:tr>
        <w:trPr>
          <w:cantSplit/>
          <w:tblHeader/>
        </w:trPr>
        <w:tc>
          <w:tcPr>
            <w:tcW w:type="dxa" w:w="1474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形式</w:t>
            </w:r>
          </w:p>
        </w:tc>
        <w:tc>
          <w:tcPr>
            <w:tcW w:type="dxa" w:w="3969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r>
                <m:t>g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628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单位与说明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指数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  <m:r>
                <m:rPr>
                  <m:lit m:val="1"/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628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FLOPs/Token，随质量凸增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幂函数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628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FLOPs/Token，四次幂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对数</w:t>
            </w:r>
          </w:p>
        </w:tc>
        <w:tc>
          <w:tcPr>
            <w:tcW w:type="dxa" w:w="3969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r>
                <m:rPr>
                  <m:lit m:val="1"/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3628"/>
          </w:tcPr>
          <w:p>
            <w:pPr>
              <w:keepNext w:val="0"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FLOPs/Token，上界处有限</w:t>
            </w:r>
          </w:p>
        </w:tc>
      </w:tr>
    </w:tbl>
    <w:p>
      <w:pPr>
        <w:keepNext/>
        <w:spacing w:before="40" w:after="40" w:line="240" w:lineRule="auto"/>
        <w:jc w:val="center"/>
      </w:pPr>
      <m:oMathPara xmlns:m="http://schemas.openxmlformats.org/officeDocument/2006/math">
        <m:oMath>
          <m:r>
            <m:t>a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L</m:t>
              </m:r>
            </m:e>
            <m:sub>
              <m:r>
                <m:rPr>
                  <m:lit m:val="1"/>
                  <m:sty m:val="p"/>
                </m:rPr>
                <m:t>c</m:t>
              </m:r>
              <m:r>
                <m:rPr>
                  <m:lit m:val="1"/>
                  <m:sty m:val="p"/>
                </m:rPr>
                <m:t>t</m:t>
              </m:r>
              <m:r>
                <m:rPr>
                  <m:lit m:val="1"/>
                  <m:sty m:val="p"/>
                </m:rP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["/>
                  <m:endChr m:val="]"/>
                  <m:grow m:val="0"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lit m:val="1"/>
                  <m:sty m:val="p"/>
                </m:rPr>
                <m:t>+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(7)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C</m:t>
              </m:r>
            </m:e>
            <m:sub>
              <m:r>
                <m:rPr>
                  <m:lit m:val="1"/>
                  <m:sty m:val="p"/>
                </m:rPr>
                <m:t>u</m:t>
              </m:r>
              <m:r>
                <m:rPr>
                  <m:lit m:val="1"/>
                  <m:sty m:val="p"/>
                </m:rPr>
                <m:t>s</m:t>
              </m:r>
              <m:r>
                <m:rPr>
                  <m:lit m:val="1"/>
                  <m:sty m:val="p"/>
                </m:rPr>
                <m:t>e</m:t>
              </m:r>
              <m:r>
                <m:rPr>
                  <m:lit m:val="1"/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t>N</m:t>
          </m:r>
          <m:r>
            <m:t>D</m:t>
          </m:r>
          <m:r>
            <m:rPr>
              <m:sty m:val="p"/>
            </m:rPr>
            <m:t>+</m:t>
          </m:r>
          <m:r>
            <m:t>η</m:t>
          </m:r>
          <m:r>
            <m:t>N</m:t>
          </m:r>
          <m:r>
            <m:t>D</m:t>
          </m:r>
          <m:sSub>
            <m:e>
              <m:r>
                <m:t>L</m:t>
              </m:r>
            </m:e>
            <m:sub>
              <m:r>
                <m:rPr>
                  <m:lit m:val="1"/>
                  <m:sty m:val="p"/>
                </m:rPr>
                <m:t>c</m:t>
              </m:r>
              <m:r>
                <m:rPr>
                  <m:lit m:val="1"/>
                  <m:sty m:val="p"/>
                </m:rPr>
                <m:t>t</m:t>
              </m:r>
              <m:r>
                <m:rPr>
                  <m:lit m:val="1"/>
                  <m:sty m:val="p"/>
                </m:rPr>
                <m:t>x</m:t>
              </m:r>
            </m:sub>
          </m:sSub>
          <m:r>
            <m:rPr>
              <m:sty m:val="p"/>
            </m:rPr>
            <m:t>+</m:t>
          </m:r>
          <m:r>
            <m:t>D</m:t>
          </m:r>
          <m:r>
            <m:t>h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[</m:t>
          </m:r>
          <m:r>
            <m:t>a</m:t>
          </m:r>
          <m:r>
            <m:t>N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(8)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图3  三种原价成本的单位Token增量h(Q)；价格量级与曲线形状同时不同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A为m行17列的可用训练锚点矩阵，配方表示为非负归一权重的凸组合。主域采用24个真实配方加训练均值，避免在完整单纯形顶点任意外推。完整训练凸包的可行证书与缩减域内的求解资格分别检查。优化模型为：</w:t>
      </w:r>
    </w:p>
    <w:p>
      <w:pPr>
        <w:keepNext/>
        <w:spacing w:before="40" w:after="40" w:line="240" w:lineRule="auto"/>
        <w:jc w:val="center"/>
      </w:pPr>
      <m:oMathPara xmlns:m="http://schemas.openxmlformats.org/officeDocument/2006/math">
        <m:oMath>
          <m:r>
            <m:rPr>
              <m:lit m:val="1"/>
              <m:sty m:val="p"/>
            </m:rPr>
            <m:t>min</m:t>
          </m:r>
          <m:r>
            <m:t>J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13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rPr>
                  <m:lit m:val="1"/>
                  <m:sty m:val="p"/>
                </m:rPr>
                <m:t>u</m:t>
              </m:r>
              <m:r>
                <m:rPr>
                  <m:lit m:val="1"/>
                  <m:sty m:val="p"/>
                </m:rPr>
                <m:t>s</m:t>
              </m:r>
              <m:r>
                <m:rPr>
                  <m:lit m:val="1"/>
                  <m:sty m:val="p"/>
                </m:rPr>
                <m:t>e</m:t>
              </m:r>
              <m:r>
                <m:rPr>
                  <m:lit m:val="1"/>
                  <m:sty m:val="p"/>
                </m:rPr>
                <m:t>d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(9)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≤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  <m:r>
            <m:rPr>
              <m:sty m:val="p"/>
            </m:rPr>
            <m:t>≤</m:t>
          </m:r>
          <m:r>
            <m:t>D</m:t>
          </m:r>
          <m:r>
            <m:rPr>
              <m:sty m:val="p"/>
            </m:rPr>
            <m:t>≤</m:t>
          </m:r>
          <m:sSup>
            <m:e>
              <m:r>
                <m:t>10</m:t>
              </m:r>
            </m:e>
            <m:sup>
              <m:r>
                <m:t>13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(10)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所有预测必须有限且为正。数值求解内部要求各域Loss不低于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；主接受规则拒绝低于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的结果，正式报告点实际均严格高于该值，补充搜索采用严格正阈值。固定配比基线为512个归一训练行的算术均值，而非17域等配比。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p</m:t>
              </m:r>
            </m:e>
            <m:sub>
              <m:r>
                <m:rPr>
                  <m:lit m:val="1"/>
                  <m:sty m:val="p"/>
                </m:rPr>
                <m:t>r</m:t>
              </m:r>
              <m:r>
                <m:rPr>
                  <m:lit m:val="1"/>
                  <m:sty m:val="p"/>
                </m:rPr>
                <m:t>e</m:t>
              </m:r>
              <m:r>
                <m:rPr>
                  <m:lit m:val="1"/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512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512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lit m:val="1"/>
                      <m:sty m:val="p"/>
                    </m:rPr>
                    <m:t>a</m:t>
                  </m:r>
                  <m:r>
                    <m:rPr>
                      <m:lit m:val="1"/>
                      <m:sty m:val="p"/>
                    </m:rPr>
                    <m:t>t</m:t>
                  </m:r>
                  <m:r>
                    <m:rPr>
                      <m:lit m:val="1"/>
                      <m:sty m:val="p"/>
                    </m:rPr>
                    <m:t>t</m:t>
                  </m:r>
                  <m:r>
                    <m:rPr>
                      <m:lit m:val="1"/>
                      <m:sty m:val="p"/>
                    </m:rPr>
                    <m:t>n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lit m:val="1"/>
                      <m:sty m:val="p"/>
                    </m:rPr>
                    <m:t>t</m:t>
                  </m:r>
                  <m:r>
                    <m:rPr>
                      <m:lit m:val="1"/>
                      <m:sty m:val="p"/>
                    </m:rPr>
                    <m:t>r</m:t>
                  </m:r>
                  <m:r>
                    <m:rPr>
                      <m:lit m:val="1"/>
                      <m:sty m:val="p"/>
                    </m:rPr>
                    <m:t>a</m:t>
                  </m:r>
                  <m:r>
                    <m:rPr>
                      <m:lit m:val="1"/>
                      <m:sty m:val="p"/>
                    </m:rPr>
                    <m:t>i</m:t>
                  </m:r>
                  <m:r>
                    <m:rPr>
                      <m:lit m:val="1"/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η</m:t>
              </m:r>
              <m:sSub>
                <m:e>
                  <m:r>
                    <m:t>L</m:t>
                  </m:r>
                </m:e>
                <m:sub>
                  <m:r>
                    <m:rPr>
                      <m:lit m:val="1"/>
                      <m:sty m:val="p"/>
                    </m:rPr>
                    <m:t>c</m:t>
                  </m:r>
                  <m:r>
                    <m:rPr>
                      <m:lit m:val="1"/>
                      <m:sty m:val="p"/>
                    </m:rPr>
                    <m:t>t</m:t>
                  </m:r>
                  <m:r>
                    <m:rPr>
                      <m:lit m:val="1"/>
                      <m:sty m:val="p"/>
                    </m:rPr>
                    <m:t>x</m:t>
                  </m:r>
                </m:sub>
              </m:sSub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L</m:t>
              </m:r>
            </m:e>
            <m:sub>
              <m:r>
                <m:rPr>
                  <m:lit m:val="1"/>
                  <m:sty m:val="p"/>
                </m:rPr>
                <m:t>c</m:t>
              </m:r>
              <m:r>
                <m:rPr>
                  <m:lit m:val="1"/>
                  <m:sty m:val="p"/>
                </m:rPr>
                <m:t>t</m:t>
              </m:r>
              <m:r>
                <m:rPr>
                  <m:lit m:val="1"/>
                  <m:sty m:val="p"/>
                </m:rPr>
                <m:t>x</m:t>
              </m:r>
            </m:sub>
            <m:sup>
              <m:r>
                <m:rPr>
                  <m:lit m:val="1"/>
                  <m:sty m:val="p"/>
                </m:rPr>
                <m:t>c</m:t>
              </m:r>
              <m:r>
                <m:rPr>
                  <m:lit m:val="1"/>
                  <m:sty m:val="p"/>
                </m:rPr>
                <m:t>r</m:t>
              </m:r>
              <m:r>
                <m:rPr>
                  <m:lit m:val="1"/>
                  <m:sty m:val="p"/>
                </m:rPr>
                <m:t>i</m:t>
              </m:r>
              <m:r>
                <m:rPr>
                  <m:lit m:val="1"/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η</m:t>
              </m:r>
            </m:den>
          </m:f>
          <m:r>
            <m:rPr>
              <m:sty m:val="p"/>
            </m:rPr>
            <m:t>=</m:t>
          </m:r>
          <m:r>
            <m:t>30000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(11)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临界长度由成本解析得到，不新增为C7的第六档。固定上下文时，注意力与训练的成本比不随预算改变。表4在C为</w:t>
      </w:r>
      <m:oMath xmlns:m="http://schemas.openxmlformats.org/officeDocument/2006/math"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FLOPs、幂成本、原25锚点联合域下比较五档上下文；单位统一为十亿。随着该项开销增加，配置的N/D均下降、预测Loss上升，但当前模型没有上下文带来的直接能力收益，不能据此建议所有任务使用最短窗口。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表4  原25锚点联合解的上下文配置比较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304"/>
        <w:gridCol w:w="1928"/>
        <w:gridCol w:w="1417"/>
        <w:gridCol w:w="1417"/>
        <w:gridCol w:w="1134"/>
        <w:gridCol w:w="1247"/>
      </w:tblGrid>
      <w:tr>
        <w:trPr>
          <w:cantSplit/>
          <w:tblHeader/>
        </w:trPr>
        <w:tc>
          <w:tcPr>
            <w:tcW w:type="dxa" w:w="1304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b>
                <m:e>
                  <m:r>
                    <m:t>L</m:t>
                  </m:r>
                </m:e>
                <m:sub>
                  <m:r>
                    <m:rPr>
                      <m:lit m:val="1"/>
                      <m:sty m:val="p"/>
                    </m:rPr>
                    <m:t>c</m:t>
                  </m:r>
                  <m:r>
                    <m:rPr>
                      <m:lit m:val="1"/>
                      <m:sty m:val="p"/>
                    </m:rPr>
                    <m:t>t</m:t>
                  </m:r>
                  <m:r>
                    <m:rPr>
                      <m:lit m:val="1"/>
                      <m:sty m:val="p"/>
                    </m:rPr>
                    <m:t>x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注意力/训练比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N（十亿）</w:t>
            </w:r>
          </w:p>
        </w:tc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D（十亿）</w:t>
            </w:r>
          </w:p>
        </w:tc>
        <w:tc>
          <w:tcPr>
            <w:tcW w:type="dxa" w:w="1134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Q</w:t>
            </w:r>
          </w:p>
        </w:tc>
        <w:tc>
          <w:tcPr>
            <w:tcW w:type="dxa" w:w="1247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J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2048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0.06827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2.8157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448.44</w:t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1.69176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4096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0.13653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2.7163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439.08</w:t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1.69523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8192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0.27307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2.5438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422.26</w:t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1.70169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32768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1.09227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1.9152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353.43</w:t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1.73153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131072</w:t>
            </w:r>
          </w:p>
        </w:tc>
        <w:tc>
          <w:tcPr>
            <w:tcW w:type="dxa" w:w="1928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4.36907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1.1338</w:t>
            </w:r>
          </w:p>
        </w:tc>
        <w:tc>
          <w:tcPr>
            <w:tcW w:type="dxa" w:w="1417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245.24</w:t>
            </w:r>
          </w:p>
        </w:tc>
        <w:tc>
          <w:tcPr>
            <w:tcW w:type="dxa" w:w="1134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247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1.79558</w:t>
            </w:r>
          </w:p>
        </w:tc>
      </w:tr>
    </w:tbl>
    <w:p>
      <w:pPr>
        <w:keepNext/>
        <w:pageBreakBefore w:val="0"/>
        <w:spacing w:before="160" w:after="8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3  资源替代机制与数值求解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3.1  质量收益与数据挤占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固定上下文、配方及参数量，若预算活跃，则D等于预算除以单位Token成本。提高质量一方面改变响应，另一方面减少可训练Token。对该预算可行方向求导：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D</m:t>
              </m:r>
            </m:num>
            <m:den>
              <m:r>
                <m:t>d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t>D</m:t>
                  </m:r>
                </m:sub>
              </m:sSub>
              <m:r>
                <m:t>D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(12)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在该方向不被其它约束阻断且响应可微时，质量下界的局部必要条件为</w:t>
      </w:r>
      <m:oMath xmlns:m="http://schemas.openxmlformats.org/officeDocument/2006/math">
        <m:sSub>
          <m:e>
            <m:r>
              <m:t>T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非负，内点约为零，上界非正。若D已触下界、预算不活跃或存在其它活跃约束，则使用对应的可行方向，不能机械套用。端点价格归一化时将g的导数替换为归一化增量成本的导数。该判据揭示：治理是否值得取决于直接质量收益能否抵消Token挤占损失。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3.2  规模弹性与治理成本份额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在正目标、可微、N/D内点、预算活跃且其它约束不向N/D必要条件增加项时，拉格朗日乘子法给出两条资源驻点条件。若</w:t>
      </w:r>
      <m:oMath xmlns:m="http://schemas.openxmlformats.org/officeDocument/2006/math">
        <m:sSub>
          <m:e>
            <m:r>
              <m:t>J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非零，消去乘子得到：</w:t>
      </w:r>
    </w:p>
    <w:p>
      <w:pPr>
        <w:keepNext/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J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λ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J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(</m:t>
          </m:r>
          <m:r>
            <m:t>a</m:t>
          </m:r>
          <m:r>
            <m:t>N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(13)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ε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J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J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ε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N</m:t>
              </m:r>
            </m:num>
            <m:den>
              <m:r>
                <m:t>a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(14)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无治理增量时恢复两种资源弹性相等；存在治理成本时，每增加Token还须承担处理成本，最优替代比因而出现修正项。治理份额的恒等式本身不要求预算活跃：</w:t>
      </w:r>
    </w:p>
    <w:p>
      <w:pPr>
        <w:keepNext/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s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Q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lit m:val="1"/>
                      <m:sty m:val="p"/>
                    </m:rPr>
                    <m:t>u</m:t>
                  </m:r>
                  <m:r>
                    <m:rPr>
                      <m:lit m:val="1"/>
                      <m:sty m:val="p"/>
                    </m:rPr>
                    <m:t>s</m:t>
                  </m:r>
                  <m:r>
                    <m:rPr>
                      <m:lit m:val="1"/>
                      <m:sty m:val="p"/>
                    </m:rPr>
                    <m:t>e</m:t>
                  </m:r>
                  <m:r>
                    <m:rPr>
                      <m:lit m:val="1"/>
                      <m:sty m:val="p"/>
                    </m:rP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a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Q</m:t>
              </m:r>
            </m:sub>
          </m:sSub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lit m:val="1"/>
                      <m:sty m:val="p"/>
                    </m:rPr>
                    <m:t>u</m:t>
                  </m:r>
                  <m:r>
                    <m:rPr>
                      <m:lit m:val="1"/>
                      <m:sty m:val="p"/>
                    </m:rPr>
                    <m:t>s</m:t>
                  </m:r>
                  <m:r>
                    <m:rPr>
                      <m:lit m:val="1"/>
                      <m:sty m:val="p"/>
                    </m:rPr>
                    <m:t>e</m:t>
                  </m:r>
                  <m:r>
                    <m:rPr>
                      <m:lit m:val="1"/>
                      <m:sty m:val="p"/>
                    </m:rPr>
                    <m:t>d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(15)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Q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N</m:t>
                      </m:r>
                    </m:den>
                  </m:f>
                </m:e>
              </m:d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rPr>
                      <m:lit m:val="1"/>
                      <m:sty m:val="p"/>
                    </m:rPr>
                    <m:t>c</m:t>
                  </m:r>
                  <m:r>
                    <m:rPr>
                      <m:lit m:val="1"/>
                      <m:sty m:val="p"/>
                    </m:rPr>
                    <m:t>t</m:t>
                  </m:r>
                  <m:r>
                    <m:rPr>
                      <m:lit m:val="1"/>
                      <m:sty m:val="p"/>
                    </m:rPr>
                    <m:t>x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t>h</m:t>
              </m:r>
            </m:num>
            <m:den>
              <m:sSup>
                <m:e>
                  <m:d>
                    <m:dPr>
                      <m:begChr m:val="("/>
                      <m:endChr m:val=")"/>
                      <m:grow m:val="0"/>
                    </m:dPr>
                    <m:e>
                      <m:r>
                        <m:t>a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(16)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此，在质量已饱和、上下文和价格固定而N继续增大的条件下，治理份额下降完全可能，同时绝对治理成本仍可增长。该恒等关系不证明N必随预算单调增加，也不能越过N/D边界作无限预算外推。上述关系是本题成本结构下标准优化原理的条件应用，不作为新的经验标度律。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3.3  预算参数化与锚点扩展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主求解使用预算保持的对数坐标。先求可行质量上限，再以最小数据量求参数上限，给定N/Q后再求数据上限：</w:t>
      </w:r>
    </w:p>
    <w:p>
      <w:pPr>
        <w:keepNext/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Q</m:t>
              </m:r>
            </m:e>
            <m:sub>
              <m:r>
                <m:rPr>
                  <m:lit m:val="1"/>
                  <m:sty m:val="p"/>
                </m:rPr>
                <m:t>h</m:t>
              </m:r>
              <m:r>
                <m:rPr>
                  <m:lit m:val="1"/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lit m:val="1"/>
              <m:sty m:val="p"/>
            </m:rPr>
            <m:t>max</m:t>
          </m:r>
          <m:r>
            <m:rPr>
              <m:sty m:val="p"/>
            </m:rPr>
            <m:t>{</m:t>
          </m:r>
          <m:r>
            <m:t>Q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:</m:t>
          </m:r>
          <m:sSub>
            <m:e>
              <m:r>
                <m:t>D</m:t>
              </m:r>
            </m:e>
            <m:sub>
              <m:r>
                <m:rPr>
                  <m:lit m:val="1"/>
                  <m:sty m:val="p"/>
                </m:rPr>
                <m:t>min</m:t>
              </m:r>
            </m:sub>
          </m:sSub>
          <m:r>
            <m:rPr>
              <m:sty m:val="p"/>
            </m:rPr>
            <m:t>[</m:t>
          </m:r>
          <m:r>
            <m:t>a</m:t>
          </m:r>
          <m:sSub>
            <m:e>
              <m:r>
                <m:t>N</m:t>
              </m:r>
            </m:e>
            <m:sub>
              <m:r>
                <m:rPr>
                  <m:lit m:val="1"/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(17)</w:t>
      </w:r>
    </w:p>
    <w:p>
      <w:pPr>
        <w:keepNext/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N</m:t>
              </m:r>
            </m:e>
            <m:sub>
              <m:r>
                <m:rPr>
                  <m:lit m:val="1"/>
                  <m:sty m:val="p"/>
                </m:rPr>
                <m:t>c</m:t>
              </m:r>
              <m:r>
                <m:rPr>
                  <m:lit m:val="1"/>
                  <m:sty m:val="p"/>
                </m:rPr>
                <m:t>a</m:t>
              </m:r>
              <m:r>
                <m:rPr>
                  <m:lit m:val="1"/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lit m:val="1"/>
              <m:sty m:val="p"/>
            </m:rPr>
            <m:t>min</m:t>
          </m:r>
          <m:r>
            <m:rPr>
              <m:sty m:val="p"/>
            </m:rPr>
            <m:t>{</m:t>
          </m:r>
          <m:sSub>
            <m:e>
              <m:r>
                <m:t>N</m:t>
              </m:r>
            </m:e>
            <m:sub>
              <m:r>
                <m:rPr>
                  <m:lit m:val="1"/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D</m:t>
              </m:r>
            </m:e>
            <m:sub>
              <m:r>
                <m:rPr>
                  <m:lit m:val="1"/>
                  <m:sty m:val="p"/>
                </m:rPr>
                <m:t>min</m:t>
              </m:r>
            </m:sub>
          </m:sSub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a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r>
            <m:rPr>
              <m:lit m:val="1"/>
              <m:sty m:val="p"/>
            </m:rPr>
            <m:t>exp</m:t>
          </m:r>
          <m:r>
            <m:rPr>
              <m:sty m:val="p"/>
            </m:rPr>
            <m:t>[</m:t>
          </m:r>
          <m:r>
            <m:rPr>
              <m:lit m:val="1"/>
              <m:sty m:val="p"/>
            </m:rPr>
            <m:t>ln</m:t>
          </m:r>
          <m:sSub>
            <m:e>
              <m:r>
                <m:t>N</m:t>
              </m:r>
            </m:e>
            <m:sub>
              <m:r>
                <m:rPr>
                  <m:lit m:val="1"/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r>
            <m:t>u</m:t>
          </m:r>
          <m:r>
            <m:rPr>
              <m:lit m:val="1"/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rPr>
                  <m:lit m:val="1"/>
                  <m:sty m:val="p"/>
                </m:rPr>
                <m:t>c</m:t>
              </m:r>
              <m:r>
                <m:rPr>
                  <m:lit m:val="1"/>
                  <m:sty m:val="p"/>
                </m:rPr>
                <m:t>a</m:t>
              </m:r>
              <m:r>
                <m:rPr>
                  <m:lit m:val="1"/>
                  <m:sty m:val="p"/>
                </m:rPr>
                <m:t>p</m:t>
              </m:r>
            </m:sub>
          </m:sSub>
          <m:r>
            <m:rPr>
              <m:sty m:val="p"/>
            </m:rPr>
            <m:t>/</m:t>
          </m:r>
          <m:sSub>
            <m:e>
              <m:r>
                <m:t>N</m:t>
              </m:r>
            </m:e>
            <m:sub>
              <m:r>
                <m:rPr>
                  <m:lit m:val="1"/>
                  <m:sty m:val="p"/>
                </m:rPr>
                <m:t>min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(18)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D</m:t>
              </m:r>
            </m:e>
            <m:sub>
              <m:r>
                <m:rPr>
                  <m:lit m:val="1"/>
                  <m:sty m:val="p"/>
                </m:rPr>
                <m:t>c</m:t>
              </m:r>
              <m:r>
                <m:rPr>
                  <m:lit m:val="1"/>
                  <m:sty m:val="p"/>
                </m:rPr>
                <m:t>a</m:t>
              </m:r>
              <m:r>
                <m:rPr>
                  <m:lit m:val="1"/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lit m:val="1"/>
              <m:sty m:val="p"/>
            </m:rPr>
            <m:t>min</m:t>
          </m:r>
          <m:r>
            <m:rPr>
              <m:sty m:val="p"/>
            </m:rPr>
            <m:t>{</m:t>
          </m:r>
          <m:sSub>
            <m:e>
              <m:r>
                <m:t>D</m:t>
              </m:r>
            </m:e>
            <m:sub>
              <m:r>
                <m:rPr>
                  <m:lit m:val="1"/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a</m:t>
          </m:r>
          <m:r>
            <m:t>N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rPr>
              <m:lit m:val="1"/>
              <m:sty m:val="p"/>
            </m:rPr>
            <m:t>exp</m:t>
          </m:r>
          <m:r>
            <m:rPr>
              <m:sty m:val="p"/>
            </m:rPr>
            <m:t>[</m:t>
          </m:r>
          <m:r>
            <m:rPr>
              <m:lit m:val="1"/>
              <m:sty m:val="p"/>
            </m:rPr>
            <m:t>ln</m:t>
          </m:r>
          <m:sSub>
            <m:e>
              <m:r>
                <m:t>D</m:t>
              </m:r>
            </m:e>
            <m:sub>
              <m:r>
                <m:rPr>
                  <m:lit m:val="1"/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r>
            <m:t>v</m:t>
          </m:r>
          <m:r>
            <m:rPr>
              <m:lit m:val="1"/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lit m:val="1"/>
                  <m:sty m:val="p"/>
                </m:rPr>
                <m:t>c</m:t>
              </m:r>
              <m:r>
                <m:rPr>
                  <m:lit m:val="1"/>
                  <m:sty m:val="p"/>
                </m:rPr>
                <m:t>a</m:t>
              </m:r>
              <m:r>
                <m:rPr>
                  <m:lit m:val="1"/>
                  <m:sty m:val="p"/>
                </m:rPr>
                <m:t>p</m:t>
              </m:r>
            </m:sub>
          </m:sSub>
          <m:r>
            <m:rPr>
              <m:sty m:val="p"/>
            </m:rPr>
            <m:t>/</m:t>
          </m:r>
          <m:sSub>
            <m:e>
              <m:r>
                <m:t>D</m:t>
              </m:r>
            </m:e>
            <m:sub>
              <m:r>
                <m:rPr>
                  <m:lit m:val="1"/>
                  <m:sty m:val="p"/>
                </m:rPr>
                <m:t>min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(19)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边界舍入用下界保护处理；该变换允许不耗尽预算。锚点权重作非负归一处理，并检查原权重和误差不超过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。采用SciPy实现的SLSQP求解[3]，主实验每配置3个确定性起点，种子20260924，每起点最多450次迭代、目标容差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。保留收敛且实际约束合格的最佳局部候选；不同起点不合并成全局最优证明。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主求解和算法对照的扰动合格另作如下定义：在最优候选的预算坐标u、v及Q上分别作正负扰动并截取到边界，配比可变时将锚点权重朝各顶点作凸组合扰动；步长取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和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。由预算映射还原试点，保留有限且满足各域Loss下限的预测；两个步长下已检查方向的最大Loss下降均不超过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，才记为扰动合格。它只检查有限方向，与下面固定资源的完整512配方方向检查不同。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缩减域会遗漏完整训练域的改进方向，故另检查所有512个真实配方。固定N/D/Q，沿下式分别取两种步长；若仍有超过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的改善，每轮加入至多4个配方再联合优化：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+</m:t>
          </m:r>
          <m:r>
            <m:t>t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512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(20)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扩展流程见图4，预设最多12轮、每轮2起点。只有重新求解的Loss改善超过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才继续扫描，否则保留未解决状态。扩域与近等价补充搜索使用log10尺度N/D及显式归一预算约束，不与主参数化混称。有限方向检查通过只排除了这些已检查的小步方向，不能代替连续驻点或全局证书。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602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图4  33个重点配置的真实锚点扩展与参考解检验流程；不代表全部新推荐均已做近等价检查</w:t>
      </w:r>
    </w:p>
    <w:p>
      <w:pPr>
        <w:keepNext/>
        <w:pageBreakBefore w:val="0"/>
        <w:spacing w:before="160" w:after="8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4  实验设计与资源配置结果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节分析、代码调试和图文草拟使用OpenAI的Codex辅助，本机客户端为0.155.0-alpha.16.3；后端型号及该预发布构建的发布日期未核实。实际使用范围见文末说明。以下数值来自响应函数的条件预测优化，不代表已训练对应数量的模型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四组机制消融见表5。规模基线只释放N/D，配比组增加p，质量组增加Q，联合组同时释放四类变量。四组共享成本、响应、边界及25锚点域；这不是独立B1标度律基线。联合可行域包含三个对照，若联合候选劣于任一对照超过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，应判为求解不足，不能解释为联合策略本身较差。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表5  四组消融与条件实验矩阵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2835"/>
      </w:tblGrid>
      <w:tr>
        <w:trPr>
          <w:cantSplit/>
          <w:tblHeader/>
        </w:trPr>
        <w:tc>
          <w:tcPr>
            <w:tcW w:type="dxa" w:w="1701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类别</w:t>
            </w:r>
          </w:p>
        </w:tc>
        <w:tc>
          <w:tcPr>
            <w:tcW w:type="dxa" w:w="4535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自由变量或变化因素</w:t>
            </w:r>
          </w:p>
        </w:tc>
        <w:tc>
          <w:tcPr>
            <w:tcW w:type="dxa" w:w="2835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数量及用途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规模基线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N、D；固定平均配方与基础质量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与另三组共同构成主矩阵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配比组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N、D、p；固定基础质量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分离配比调整收益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质量组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N、D、Q；固定平均配方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分离治理收益及其成本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联合组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N、D、p、Q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同域联合收益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主矩阵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11预算、5上下文、3成本、4组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660项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成本对照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统一Q0至1的端点增量价格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660项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桥接对照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2形式、3强度、2基线质量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7920项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搜索敏感性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49/97锚点、6起点、另种子及3种边界扰动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4620项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零收益对照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质量收益强度设为0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660项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预算加密</w:t>
            </w:r>
          </w:p>
        </w:tc>
        <w:tc>
          <w:tcPr>
            <w:tcW w:type="dxa" w:w="453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41档预算、其余主设置相同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2460项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算法横向对照</w:t>
            </w:r>
          </w:p>
        </w:tc>
        <w:tc>
          <w:tcPr>
            <w:tcW w:type="dxa" w:w="4535"/>
          </w:tcPr>
          <w:p>
            <w:pPr>
              <w:keepNext w:val="0"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5预算、2上下文、3成本、2求解器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另外60项</w:t>
            </w:r>
          </w:p>
        </w:tc>
      </w:tr>
    </w:tbl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主预算覆盖</w:t>
      </w:r>
      <m:oMath xmlns:m="http://schemas.openxmlformats.org/officeDocument/2006/math">
        <m:sSup>
          <m:e>
            <m:r>
              <m:t>10</m:t>
            </m:r>
          </m:e>
          <m:sup>
            <m:r>
              <m:t>19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至</w:t>
      </w:r>
      <m:oMath xmlns:m="http://schemas.openxmlformats.org/officeDocument/2006/math">
        <m:sSup>
          <m:e>
            <m:r>
              <m:t>10</m:t>
            </m:r>
          </m:e>
          <m:sup>
            <m:r>
              <m:t>24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的11档，含题给三个典型量级；上下文取C7全部五档。前六批共16980项登记，去重为15960个数学配置，无运行缺失。重合配置保留来源和起点信息，不把重复记录计作独立样本。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4.1  平均收益与领域代价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以相同预算、上下文、成本的规模基线为配对参照，定义平均改善率和联合非加性：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r>
            <m:t>G</m:t>
          </m:r>
          <m:r>
            <m:rPr>
              <m:sty m:val="p"/>
            </m:rPr>
            <m:t>=</m:t>
          </m:r>
          <m:r>
            <m:t>100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rPr>
                      <m:lit m:val="1"/>
                      <m:sty m:val="p"/>
                    </m:rPr>
                    <m:t>b</m:t>
                  </m:r>
                  <m:r>
                    <m:rPr>
                      <m:lit m:val="1"/>
                      <m:sty m:val="p"/>
                    </m:rPr>
                    <m:t>a</m:t>
                  </m:r>
                  <m:r>
                    <m:rPr>
                      <m:lit m:val="1"/>
                      <m:sty m:val="p"/>
                    </m:rPr>
                    <m:t>s</m:t>
                  </m:r>
                  <m:r>
                    <m:rPr>
                      <m:lit m:val="1"/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rPr>
                      <m:lit m:val="1"/>
                      <m:sty m:val="p"/>
                    </m:rPr>
                    <m:t>j</m:t>
                  </m:r>
                  <m:r>
                    <m:rPr>
                      <m:lit m:val="1"/>
                      <m:sty m:val="p"/>
                    </m:rPr>
                    <m:t>o</m:t>
                  </m:r>
                  <m:r>
                    <m:rPr>
                      <m:lit m:val="1"/>
                      <m:sty m:val="p"/>
                    </m:rPr>
                    <m:t>i</m:t>
                  </m:r>
                  <m:r>
                    <m:rPr>
                      <m:lit m:val="1"/>
                      <m:sty m:val="p"/>
                    </m:rPr>
                    <m:t>n</m:t>
                  </m:r>
                  <m:r>
                    <m:rPr>
                      <m:lit m:val="1"/>
                      <m:sty m:val="p"/>
                    </m:rPr>
                    <m:t>t</m:t>
                  </m:r>
                </m:sub>
              </m:sSub>
            </m:num>
            <m:den>
              <m:sSub>
                <m:e>
                  <m:r>
                    <m:t>J</m:t>
                  </m:r>
                </m:e>
                <m:sub>
                  <m:r>
                    <m:rPr>
                      <m:lit m:val="1"/>
                      <m:sty m:val="p"/>
                    </m:rPr>
                    <m:t>b</m:t>
                  </m:r>
                  <m:r>
                    <m:rPr>
                      <m:lit m:val="1"/>
                      <m:sty m:val="p"/>
                    </m:rPr>
                    <m:t>a</m:t>
                  </m:r>
                  <m:r>
                    <m:rPr>
                      <m:lit m:val="1"/>
                      <m:sty m:val="p"/>
                    </m:rPr>
                    <m:t>s</m:t>
                  </m:r>
                  <m:r>
                    <m:rPr>
                      <m:lit m:val="1"/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rPr>
                  <m:lit m:val="1"/>
                  <m:sty m:val="p"/>
                </m:rPr>
                <m:t>q</m:t>
              </m:r>
              <m:r>
                <m:rPr>
                  <m:lit m:val="1"/>
                  <m:sty m:val="p"/>
                </m:rPr>
                <m:t>u</m:t>
              </m:r>
              <m:r>
                <m:rPr>
                  <m:lit m:val="1"/>
                  <m:sty m:val="p"/>
                </m:rPr>
                <m:t>a</m:t>
              </m:r>
              <m:r>
                <m:rPr>
                  <m:lit m:val="1"/>
                  <m:sty m:val="p"/>
                </m:rPr>
                <m:t>l</m:t>
              </m:r>
              <m:r>
                <m:rPr>
                  <m:lit m:val="1"/>
                  <m:sty m:val="p"/>
                </m:rPr>
                <m:t>i</m:t>
              </m:r>
              <m:r>
                <m:rPr>
                  <m:lit m:val="1"/>
                  <m:sty m:val="p"/>
                </m:rPr>
                <m:t>t</m:t>
              </m:r>
              <m:r>
                <m:rPr>
                  <m:lit m:val="1"/>
                  <m:sty m:val="p"/>
                </m:rPr>
                <m:t>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J</m:t>
              </m:r>
            </m:e>
            <m:sub>
              <m:r>
                <m:rPr>
                  <m:lit m:val="1"/>
                  <m:sty m:val="p"/>
                </m:rPr>
                <m:t>m</m:t>
              </m:r>
              <m:r>
                <m:rPr>
                  <m:lit m:val="1"/>
                  <m:sty m:val="p"/>
                </m:rPr>
                <m:t>i</m:t>
              </m:r>
              <m:r>
                <m:rPr>
                  <m:lit m:val="1"/>
                  <m:sty m:val="p"/>
                </m:rPr>
                <m:t>x</m:t>
              </m:r>
              <m:r>
                <m:rPr>
                  <m:lit m:val="1"/>
                  <m:sty m:val="p"/>
                </m:rPr>
                <m:t>t</m:t>
              </m:r>
              <m:r>
                <m:rPr>
                  <m:lit m:val="1"/>
                  <m:sty m:val="p"/>
                </m:rPr>
                <m:t>u</m:t>
              </m:r>
              <m:r>
                <m:rPr>
                  <m:lit m:val="1"/>
                  <m:sty m:val="p"/>
                </m:rPr>
                <m:t>r</m:t>
              </m:r>
              <m:r>
                <m:rPr>
                  <m:lit m:val="1"/>
                  <m:sty m:val="p"/>
                </m:rP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J</m:t>
              </m:r>
            </m:e>
            <m:sub>
              <m:r>
                <m:rPr>
                  <m:lit m:val="1"/>
                  <m:sty m:val="p"/>
                </m:rPr>
                <m:t>b</m:t>
              </m:r>
              <m:r>
                <m:rPr>
                  <m:lit m:val="1"/>
                  <m:sty m:val="p"/>
                </m:rPr>
                <m:t>a</m:t>
              </m:r>
              <m:r>
                <m:rPr>
                  <m:lit m:val="1"/>
                  <m:sty m:val="p"/>
                </m:rPr>
                <m:t>s</m:t>
              </m:r>
              <m:r>
                <m:rPr>
                  <m:lit m:val="1"/>
                  <m:sty m:val="p"/>
                </m:rP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J</m:t>
              </m:r>
            </m:e>
            <m:sub>
              <m:r>
                <m:rPr>
                  <m:lit m:val="1"/>
                  <m:sty m:val="p"/>
                </m:rPr>
                <m:t>j</m:t>
              </m:r>
              <m:r>
                <m:rPr>
                  <m:lit m:val="1"/>
                  <m:sty m:val="p"/>
                </m:rPr>
                <m:t>o</m:t>
              </m:r>
              <m:r>
                <m:rPr>
                  <m:lit m:val="1"/>
                  <m:sty m:val="p"/>
                </m:rPr>
                <m:t>i</m:t>
              </m:r>
              <m:r>
                <m:rPr>
                  <m:lit m:val="1"/>
                  <m:sty m:val="p"/>
                </m:rPr>
                <m:t>n</m:t>
              </m:r>
              <m:r>
                <m:rPr>
                  <m:lit m:val="1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(21)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指数成本、4096上下文的四组轨迹见图5。全165个原联合场景的平均改善为4.1603%至5.8086%，说明在统一模型假设下，释放配比和治理变量具有决策价值。非加性H以百万分之一nats为容差，71组为正、47组为负、47组在容差内，并非普遍正协同。全量统计来自全部配对结果，不由单幅切片图外推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图5  指数成本、上下文4096时11档预算的四组消融；各组均联动优化N/D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均值改善伴随分配代价：全165组中162组至少一个领域退步，最多同时退步2个领域。最坏绝对退步为0.0867182 nats，出现在预算为</w:t>
      </w:r>
      <m:oMath xmlns:m="http://schemas.openxmlformats.org/officeDocument/2006/math"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、上下文2048、幂成本的dm mathematics，Loss由1.467935升至1.554654。典型9例的13域变化见图6。若实际应用要求逐域不退步，应另行加入保障约束；本文不在看到结果后改动等权目标。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694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图6  上下文4096、三预算乘三成本的逐域Loss变化；全165组统计另按完整配对表计算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4.2  搜索域限制与有限候选配置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完整训练配方方向检查发现，165个主联合配置均存在25锚点域外的改善方向。对上下文4096的33组执行锚点扩展，实际最多5轮，最终使用39至42个锚点，相对原联合解改善0.8383%至2.5512%；配比的L1变化为0.5280至0.6468。图7表明搜索域限制具有实质影响，但该扩域收益不能混入原四组机制消融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92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图7  33个4096上下文配置的扩域结果相对原25锚点联合解的变化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进一步对照同模型、原价、相同基础质量、原N/D边界及比值桥接强度1下的已有最终候选，33个扩域解中仍有13个不及此前搜索结果、20个更好。于是把825条主实验及搜索候选与33条扩域候选整合，逐点重算后，按每个场景的实际最小Loss选择；完全并列时按固定来源标识确定展示代表。858条记录并非858个独立物理解，也不包含所有中间迭代点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165组获选配置中145组来自97锚点搜索，20组来自扩域；相对原25锚点联合解进一步改善0.9583%至2.5512%。这表示有限候选整理避免了漏选，不构成等计算预算的算法优越性证据。表6给出上下文4096的三预算、三成本推荐，完整精度与其余上下文结果保存在电子配置表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表6  同合同有限候选库中的典型条件配置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417"/>
        <w:gridCol w:w="1134"/>
        <w:gridCol w:w="1304"/>
        <w:gridCol w:w="1361"/>
        <w:gridCol w:w="964"/>
        <w:gridCol w:w="1191"/>
        <w:gridCol w:w="1191"/>
      </w:tblGrid>
      <w:tr>
        <w:trPr>
          <w:cantSplit/>
          <w:tblHeader/>
        </w:trPr>
        <w:tc>
          <w:tcPr>
            <w:tcW w:type="dxa" w:w="1417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</w:t>
              <w:br/>
              <w:t>（FLOPs）</w:t>
            </w:r>
          </w:p>
        </w:tc>
        <w:tc>
          <w:tcPr>
            <w:tcW w:type="dxa" w:w="1134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成本</w:t>
            </w:r>
          </w:p>
        </w:tc>
        <w:tc>
          <w:tcPr>
            <w:tcW w:type="dxa" w:w="1304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N</w:t>
              <w:br/>
              <w:t>（十亿）</w:t>
            </w:r>
          </w:p>
        </w:tc>
        <w:tc>
          <w:tcPr>
            <w:tcW w:type="dxa" w:w="1361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D（十亿）</w:t>
            </w:r>
          </w:p>
        </w:tc>
        <w:tc>
          <w:tcPr>
            <w:tcW w:type="dxa" w:w="964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Q</w:t>
            </w:r>
          </w:p>
        </w:tc>
        <w:tc>
          <w:tcPr>
            <w:tcW w:type="dxa" w:w="1191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J</w:t>
            </w:r>
          </w:p>
        </w:tc>
        <w:tc>
          <w:tcPr>
            <w:tcW w:type="dxa" w:w="1191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候选来源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19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指数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0.0678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21.64</w:t>
            </w:r>
          </w:p>
        </w:tc>
        <w:tc>
          <w:tcPr>
            <w:tcW w:type="dxa" w:w="96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0.6219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2.38753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扩展锚点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19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幂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0.0678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21.64</w:t>
            </w:r>
          </w:p>
        </w:tc>
        <w:tc>
          <w:tcPr>
            <w:tcW w:type="dxa" w:w="96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0.6219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2.38753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扩展锚点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19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对数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0.0678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21.64</w:t>
            </w:r>
          </w:p>
        </w:tc>
        <w:tc>
          <w:tcPr>
            <w:tcW w:type="dxa" w:w="96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0.6219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2.38753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扩展锚点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指数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2.5115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491.40</w:t>
            </w:r>
          </w:p>
        </w:tc>
        <w:tc>
          <w:tcPr>
            <w:tcW w:type="dxa" w:w="96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0.9829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1.66994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扩展锚点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幂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2.6199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452.13</w:t>
            </w:r>
          </w:p>
        </w:tc>
        <w:tc>
          <w:tcPr>
            <w:tcW w:type="dxa" w:w="96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1.67192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扩展锚点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对数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2.2175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626.41</w:t>
            </w:r>
          </w:p>
        </w:tc>
        <w:tc>
          <w:tcPr>
            <w:tcW w:type="dxa" w:w="96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1.66062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97锚点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指数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21.9273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6529.84</w:t>
            </w:r>
          </w:p>
        </w:tc>
        <w:tc>
          <w:tcPr>
            <w:tcW w:type="dxa" w:w="96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1.46600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97锚点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幂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22.0068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6480.02</w:t>
            </w:r>
          </w:p>
        </w:tc>
        <w:tc>
          <w:tcPr>
            <w:tcW w:type="dxa" w:w="964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1.46612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97锚点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134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对数</w:t>
            </w:r>
          </w:p>
        </w:tc>
        <w:tc>
          <w:tcPr>
            <w:tcW w:type="dxa" w:w="1304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21.5744</w:t>
            </w:r>
          </w:p>
        </w:tc>
        <w:tc>
          <w:tcPr>
            <w:tcW w:type="dxa" w:w="1361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6758.48</w:t>
            </w:r>
          </w:p>
        </w:tc>
        <w:tc>
          <w:tcPr>
            <w:tcW w:type="dxa" w:w="964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1.46547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97锚点</w:t>
            </w:r>
          </w:p>
        </w:tc>
      </w:tr>
    </w:tbl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对于表6，低预算三种成本均保持</w:t>
      </w:r>
      <m:oMath xmlns:m="http://schemas.openxmlformats.org/officeDocument/2006/math"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，因为此时没有治理增量，成本形式不再区分配置；中高预算的质量提升须结合各自代价解释。表7列出同一有限库、幂成本、上下文4096的完整17维配方，三个预算列分别与表6的幂成本来源对应。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表7  幂成本条件下典型有限候选的完整领域配方（%）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3402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领域</w:t>
            </w:r>
          </w:p>
        </w:tc>
        <w:tc>
          <w:tcPr>
            <w:tcW w:type="dxa" w:w="1871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19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871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1871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arxiv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3.45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2.62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1.79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freelaw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7.67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7.44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5.25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nih exporter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0.01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4.88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pubmed central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2.93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1.46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3.63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wikipedia en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6.84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7.74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19.69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dm mathematics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4.73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5.06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0.84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github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11.40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12.92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12.12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philpapers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&lt;0.005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&lt;0.005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&lt;0.005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stackexchange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14.07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13.10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3.83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enron emails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&lt;0.005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0.08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gutenberg pg 19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6.55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9.03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15.90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pile cc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17.87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28.14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11.49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ubuntu irc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5.10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5.13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14.81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europarl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&lt;0.005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&lt;0.005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0.09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hackernews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6.16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4.63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5.22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pubmed abstracts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9.81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0.05</w:t>
            </w:r>
          </w:p>
        </w:tc>
        <w:tc>
          <w:tcPr>
            <w:tcW w:type="dxa" w:w="187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&lt;0.005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uspto backgrounds</w:t>
            </w:r>
          </w:p>
        </w:tc>
        <w:tc>
          <w:tcPr>
            <w:tcW w:type="dxa" w:w="1871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3.41</w:t>
            </w:r>
          </w:p>
        </w:tc>
        <w:tc>
          <w:tcPr>
            <w:tcW w:type="dxa" w:w="1871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2.67</w:t>
            </w:r>
          </w:p>
        </w:tc>
        <w:tc>
          <w:tcPr>
            <w:tcW w:type="dxa" w:w="1871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0.36</w:t>
            </w:r>
          </w:p>
        </w:tc>
      </w:tr>
    </w:tbl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完整配方在表7中以百分比表示，独立四舍五入到两位小数；小于0.005%的严格正值显示为&lt;0.005，真零显示0，显示值之和不保证恰为100%。源结果未据此重新归一化。新推荐中20个确切扩域来源保有完整512配方两步长记录，另145个仅有其缩减域扰动记录；近等价审查仅覆盖5个确切扩域参考，其余160个未检查。推荐表不据此宣称配方唯一或全域最优。</w:t>
      </w:r>
    </w:p>
    <w:p>
      <w:pPr>
        <w:keepNext/>
        <w:pageBreakBefore w:val="0"/>
        <w:spacing w:before="160" w:after="8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5  成本敏感性与结构性转移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5.1  治理份额与价格尺度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实际成本份额见图8，其范围为原25锚点、上下文4096的9个典型配置。质量提高、治理绝对成本增加、治理份额上升是不同命题。另以扩域的幂成本案例说明：预算由</w:t>
      </w:r>
      <m:oMath xmlns:m="http://schemas.openxmlformats.org/officeDocument/2006/math"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增至</w:t>
      </w:r>
      <m:oMath xmlns:m="http://schemas.openxmlformats.org/officeDocument/2006/math">
        <m:sSup>
          <m:e>
            <m:r>
              <m:t>10</m:t>
            </m:r>
          </m:e>
          <m:sup>
            <m:r>
              <m:t>24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时，Q均为1，治理份额由19.2241%降至2.6935%，但绝对治理成本由</w:t>
      </w:r>
      <m:oMath xmlns:m="http://schemas.openxmlformats.org/officeDocument/2006/math">
        <m:r>
          <m:t>1.9224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增至</w:t>
      </w:r>
      <m:oMath xmlns:m="http://schemas.openxmlformats.org/officeDocument/2006/math">
        <m:r>
          <m:t>2.6935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FLOPs，即增至原来的约14.01倍。这组扩域数值不作为图中原域数值。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808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图8  原25锚点、上下文4096、三预算乘三成本的训练、注意力及治理份额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为检验资源替代条件，采用两种相对差分步长计算归一化残差：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r</m:t>
              </m:r>
            </m:e>
            <m:sub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N</m:t>
              </m:r>
              <m:r>
                <m:t>D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lit m:val="1"/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lit m:val="1"/>
                  <m:sty m:val="p"/>
                </m:rPr>
                <m:t>|</m:t>
              </m:r>
              <m:r>
                <m:t>J</m:t>
              </m:r>
              <m:r>
                <m:rPr>
                  <m:lit m:val="1"/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(22)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165个原联合解共330次检查的最大绝对残差为</w:t>
      </w:r>
      <m:oMath xmlns:m="http://schemas.openxmlformats.org/officeDocument/2006/math">
        <m:r>
          <m:t>2.04434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；图9仅展示步长为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的165点。小残差支持推导与模型内求解一致，不能证明响应能准确预测真实训练。质量边界的预算轨迹见图10，连续颜色本身不是结构转移判定。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图9  原联合解的资源均衡检查；图中为相对差分步长10的负5次方的165点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782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图10  原联合域在五档上下文、三成本及11预算下的连续质量值；色阶不代表稳定相变标签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题给三成本同时改变价格和形状。为了分离二者，在同一Q0下把Q=1的增量对齐到指数成本：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λ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rPr>
                      <m:lit m:val="1"/>
                      <m:sty m:val="p"/>
                    </m:rPr>
                    <m:t>exp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rPr>
                      <m:lit m:val="1"/>
                      <m:sty m:val="p"/>
                    </m:rPr>
                    <m:t>exp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h</m:t>
              </m:r>
            </m:e>
            <m:sub>
              <m:r>
                <m:t>f</m:t>
              </m:r>
            </m:sub>
            <m:sup>
              <m:r>
                <m:rPr>
                  <m:lit m:val="1"/>
                  <m:sty m:val="p"/>
                </m:rPr>
                <m:t>n</m:t>
              </m:r>
              <m:r>
                <m:rPr>
                  <m:lit m:val="1"/>
                  <m:sty m:val="p"/>
                </m:rPr>
                <m:t>o</m:t>
              </m:r>
              <m:r>
                <m:rPr>
                  <m:lit m:val="1"/>
                  <m:sty m:val="p"/>
                </m:rPr>
                <m:t>r</m:t>
              </m:r>
              <m:r>
                <m:rPr>
                  <m:lit m:val="1"/>
                  <m:sty m:val="p"/>
                </m:rPr>
                <m:t>m</m:t>
              </m:r>
            </m:sup>
          </m:sSub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(23)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归一化前后质量轨迹见图11。对55个预算/上下文组，要求两种设定中排名第一与第二的Loss差均超过百万分之一，仍有19组最优成本形式改变。因此，原价下哪种成本给出更低Loss，不能全部归因于曲线形状。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967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图11  上下文4096时原价与端点价格归一化后的Q轨迹；19/55排名变化另由完整比较表计算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5.2  结构状态、机制与持续性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把结构性转移操作化为质量边界状态、有效配方支持或N/D活跃边界的变化，并要求这种变化通过机制、持续性及情景检验。质量距下界不超过0.001记为下界状态，距1不超过0.001记为上界，否则为内点；配比状态定义为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S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: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τ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τ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lit m:val="1"/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lit m:val="1"/>
                  <m:sty m:val="p"/>
                </m:rPr>
                <m:t>|</m:t>
              </m:r>
            </m:num>
            <m:den>
              <m:r>
                <m:rPr>
                  <m:lit m:val="1"/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lit m:val="1"/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(24)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并集为空时距离记0。配方候选变化须同时满足</w:t>
      </w:r>
      <m:oMath xmlns:m="http://schemas.openxmlformats.org/officeDocument/2006/math"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0.2</m:t>
        </m:r>
      </m:oMath>
      <w:r>
        <w:rPr>
          <w:rFonts w:ascii="Times New Roman" w:hAnsi="Times New Roman" w:eastAsia="宋体"/>
          <w:b w:val="0"/>
          <w:sz w:val="24"/>
        </w:rPr>
        <w:t>和</w:t>
      </w:r>
      <m:oMath xmlns:m="http://schemas.openxmlformats.org/officeDocument/2006/math">
        <m:r>
          <m:rPr>
            <m:sty m:val="p"/>
          </m:rPr>
          <m:t>∥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0.02</m:t>
        </m:r>
      </m:oMath>
      <w:r>
        <w:rPr>
          <w:rFonts w:ascii="Times New Roman" w:hAnsi="Times New Roman" w:eastAsia="宋体"/>
          <w:b w:val="0"/>
          <w:sz w:val="24"/>
        </w:rPr>
        <w:t>。两端必须数值合格；质量机制检查预算方向量，方向容差为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；配方还要求已接受的近等价起点没有不同支持。后续至少两个预算点维持新状态，再要求同一粗预算区间内的加密数据严格收缩变化区间。任一成本份额变化达到0.15只作描述，不单独判定机制转移。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同成本、上下文和优化模式，将同机制、区间严格重叠且通过机制与持续检验的轨迹数除以全部登记轨迹数，作为情景支持比例；需覆盖桥接、强度、种子、边界及锚点扰动。主比例门槛为70%，另看60%和80%。近等价起点的绝对Loss容差默认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lit m:val="1"/>
            <m:sty m:val="p"/>
          </m:rPr>
          <m:t>max</m:t>
        </m:r>
        <m:r>
          <m:rPr>
            <m:sty m:val="p"/>
          </m:rPr>
          <m:t>(</m:t>
        </m:r>
        <m:r>
          <m:rPr>
            <m:lit m:val="1"/>
            <m:sty m:val="p"/>
          </m:rPr>
          <m:t>|</m:t>
        </m:r>
        <m:r>
          <m:t>J</m:t>
        </m:r>
        <m:r>
          <m:rPr>
            <m:lit m:val="1"/>
            <m:sty m:val="p"/>
          </m:rPr>
          <m:t>|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宋体"/>
          <w:b w:val="0"/>
          <w:sz w:val="24"/>
        </w:rPr>
        <w:t>，其中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是无量纲缩放系数，并检查阈值敏感性。比例描述注册假设下的一致性，不是统计置信水平。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构识别结果见表8。固定配方、指数成本、最长上下文仅有一个条件质量启动事件，其粗细区间表示同一事件。联合策略没有通过70%规则的稳定质量或有效支持事件，因此不能用少量典型配置的差异宣称普遍联合相变。</w:t>
      </w:r>
    </w:p>
    <w:p>
      <w:pPr>
        <w:keepNext/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表8  结构转移识别与阈值敏感性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4365"/>
        <w:gridCol w:w="2665"/>
      </w:tblGrid>
      <w:tr>
        <w:trPr>
          <w:cantSplit/>
          <w:tblHeader/>
        </w:trPr>
        <w:tc>
          <w:tcPr>
            <w:tcW w:type="dxa" w:w="2041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项目</w:t>
            </w:r>
          </w:p>
        </w:tc>
        <w:tc>
          <w:tcPr>
            <w:tcW w:type="dxa" w:w="4365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实际结果</w:t>
            </w:r>
          </w:p>
        </w:tc>
        <w:tc>
          <w:tcPr>
            <w:tcW w:type="dxa" w:w="2665"/>
            <w:tcBorders>
              <w:bottom w:val="single" w:sz="4" w:space="0" w:color="000000"/>
            </w:tcBorders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判断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固定配方质量启动</w:t>
            </w:r>
          </w:p>
        </w:tc>
        <w:tc>
          <w:tcPr>
            <w:tcW w:type="dxa" w:w="436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指数成本，上下文131072</w:t>
            </w:r>
          </w:p>
        </w:tc>
        <w:tc>
          <w:tcPr>
            <w:tcW w:type="dxa" w:w="266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一个下界至内点事件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预算区间（FLOPs）</w:t>
            </w:r>
          </w:p>
        </w:tc>
        <w:tc>
          <w:tcPr>
            <w:tcW w:type="dxa" w:w="436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粗：</w:t>
            </w:r>
            <m:oMath xmlns:m="http://schemas.openxmlformats.org/officeDocument/2006/math"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19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t>20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  <w:t>；细：</w:t>
            </w:r>
            <m:oMath xmlns:m="http://schemas.openxmlformats.org/officeDocument/2006/math">
              <m:r>
                <m:rPr>
                  <m:sty m:val="p"/>
                </m:rPr>
                <m:t>[</m:t>
              </m:r>
              <m:r>
                <m:t>7.49894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19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t>20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  <w:tc>
          <w:tcPr>
            <w:tcW w:type="dxa" w:w="266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细区间属于同一事件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情景支持比例</w:t>
            </w:r>
          </w:p>
        </w:tc>
        <w:tc>
          <w:tcPr>
            <w:tcW w:type="dxa" w:w="436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16/21，即76.19%</w:t>
            </w:r>
          </w:p>
        </w:tc>
        <w:tc>
          <w:tcPr>
            <w:tcW w:type="dxa" w:w="266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70%通过，80%不通过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质量方向容差</w:t>
            </w:r>
          </w:p>
        </w:tc>
        <w:tc>
          <w:tcPr>
            <w:tcW w:type="dxa" w:w="436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  <w:t>通过，</w:t>
            </w:r>
            <m:oMath xmlns:m="http://schemas.openxmlformats.org/officeDocument/2006/math"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4"/>
              </w:rPr>
              <w:t>不通过</w:t>
            </w:r>
          </w:p>
        </w:tc>
        <w:tc>
          <w:tcPr>
            <w:tcW w:type="dxa" w:w="266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事件依赖数值门槛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联合配置</w:t>
            </w:r>
          </w:p>
        </w:tc>
        <w:tc>
          <w:tcPr>
            <w:tcW w:type="dxa" w:w="4365"/>
          </w:tcPr>
          <w:p>
            <w:pPr>
              <w:keepNext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未检出通过70%规则的稳定事件</w:t>
            </w:r>
          </w:p>
        </w:tc>
        <w:tc>
          <w:tcPr>
            <w:tcW w:type="dxa" w:w="2665"/>
          </w:tcPr>
          <w:p>
            <w:pPr>
              <w:keepNext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不宣称普遍结构相变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光滑配方负对照</w:t>
            </w:r>
          </w:p>
        </w:tc>
        <w:tc>
          <w:tcPr>
            <w:tcW w:type="dxa" w:w="4365"/>
          </w:tcPr>
          <w:p>
            <w:pPr>
              <w:keepNext w:val="0"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所有占比严格为正仍可跨1%阈值</w:t>
            </w:r>
          </w:p>
        </w:tc>
        <w:tc>
          <w:tcPr>
            <w:tcW w:type="dxa" w:w="2665"/>
          </w:tcPr>
          <w:p>
            <w:pPr>
              <w:keepNext w:val="0"/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有效支持改变不等于零支持突变</w:t>
            </w:r>
          </w:p>
        </w:tc>
      </w:tr>
    </w:tbl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5.3  近等价配方与识别边界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原域与扩域各选上下文4096、三个典型预算乘三成本的9个参考，分别保留自身支持域和目标基准。对每个参考定义近等价集合，选择最靠近1%阈值的三个领域，分别最小化、最大化占比：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rPr>
                  <m:lit m:val="1"/>
                  <m:scr m:val="script"/>
                  <m:sty m:val="p"/>
                </m:rPr>
                <m:t>ℰ</m:t>
              </m:r>
            </m:e>
            <m:sub>
              <m:r>
                <m:t>ϵ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sSub>
            <m:e>
              <m:r>
                <m:rPr>
                  <m:lit m:val="1"/>
                  <m:scr m:val="script"/>
                  <m:sty m:val="p"/>
                </m:rPr>
                <m:t>ℱ</m:t>
              </m:r>
            </m:e>
            <m:sub>
              <m:r>
                <m:rPr>
                  <m:lit m:val="1"/>
                  <m:sty m:val="p"/>
                </m:rPr>
                <m:t>r</m:t>
              </m:r>
              <m:r>
                <m:rPr>
                  <m:lit m:val="1"/>
                  <m:sty m:val="p"/>
                </m:rPr>
                <m:t>e</m:t>
              </m:r>
              <m:r>
                <m:rPr>
                  <m:lit m:val="1"/>
                  <m:sty m:val="p"/>
                </m:rPr>
                <m:t>f</m:t>
              </m:r>
            </m:sub>
          </m:sSub>
          <m:r>
            <m:rPr>
              <m:sty m:val="p"/>
            </m:rPr>
            <m:t>:</m:t>
          </m:r>
          <m:r>
            <m:t>J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acc>
            <m:accPr>
              <m:chr m:val="̂"/>
            </m:accPr>
            <m:e>
              <m:r>
                <m:t>J</m:t>
              </m:r>
            </m:e>
          </m:acc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ϵ</m:t>
          </m:r>
          <m:r>
            <m:rPr>
              <m:sty m:val="p"/>
            </m:rPr>
            <m:t>=</m:t>
          </m:r>
          <m:r>
            <m:t>ρ</m:t>
          </m:r>
          <m:r>
            <m:rPr>
              <m:lit m:val="1"/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lit m:val="1"/>
              <m:sty m:val="p"/>
            </m:rPr>
            <m:t>|</m:t>
          </m:r>
          <m:acc>
            <m:accPr>
              <m:chr m:val="̂"/>
            </m:accPr>
            <m:e>
              <m:r>
                <m:t>J</m:t>
              </m:r>
            </m:e>
          </m:acc>
          <m:r>
            <m:rPr>
              <m:lit m:val="1"/>
              <m:sty m:val="p"/>
            </m:rPr>
            <m:t>|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ρ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(25)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每任务至多2起点，每起点最多400次SLSQP迭代，目标容差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。原域按目标值、科学内容标识和原起点序号排序选取已接受端点，保留其重数；扩域采用最终扩域权重与均匀扩域权重。两批各自重新选取近阈值领域，搜索预算相同不表示参考目标或可行域相同。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域和扩域各执行162个任务、324次起点求解，分别保留7次和4次未收敛。原域9个任务发现跨阈值反例，涉及6个典型配置；扩域1个任务发现反例，涉及1个配置。相同参考、领域、支持域和阈值下，小容差见证可继承到大容差，已知反例集合分别为15/81和1/81。两次搜索的参考和领域不同，不能用9比1证明扩域提高了稳定性；没有找到反例也不证明唯一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扩域的反例位于</w:t>
      </w:r>
      <m:oMath xmlns:m="http://schemas.openxmlformats.org/officeDocument/2006/math">
        <m:r>
          <m:t>C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24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、上下文4096、对数成本：允许约0.1%的平均Loss增加，pubmed abstracts占比可由0.0410924%升至3.5257574%，质量仍近上界。它是近等价而非更优解。相对后来有限库选出的更低Loss参考，该见证增幅约0.22592%，已超过0.1%上限，不能转移为新推荐的同容差反例。这个例子说明结构判定必须绑定参考目标、可行域和容差。</w:t>
      </w:r>
    </w:p>
    <w:p>
      <w:pPr>
        <w:keepNext/>
        <w:pageBreakBefore w:val="0"/>
        <w:spacing w:before="160" w:after="8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6  数值检验、不确定性与模型评价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6.1  有限情景下的稳健选择</w:t>
      </w:r>
    </w:p>
    <w:p>
      <w:pPr>
        <w:keepNext/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在共同基础质量与可比成本下，对两种桥接、三种正收益强度共六情景互评共同可行的有限候选。令X为经过复核的该组有限集合，定义各情景相对后悔和推荐配置：</w:t>
      </w:r>
    </w:p>
    <w:p>
      <w:pPr>
        <w:keepNext/>
        <w:spacing w:before="40" w:after="40" w:line="240" w:lineRule="auto"/>
        <w:jc w:val="center"/>
      </w:pPr>
      <m:oMathPara xmlns:m="http://schemas.openxmlformats.org/officeDocument/2006/math">
        <m:oMath>
          <m:sSubSup>
            <m:e>
              <m:r>
                <m:t>J</m:t>
              </m:r>
            </m:e>
            <m:sub>
              <m:r>
                <m:t>s</m:t>
              </m:r>
            </m:sub>
            <m:sup>
              <m:r>
                <m:rPr>
                  <m:lit m:val="1"/>
                  <m:sty m:val="p"/>
                </m:rPr>
                <m:t>b</m:t>
              </m:r>
              <m:r>
                <m:rPr>
                  <m:lit m:val="1"/>
                  <m:sty m:val="p"/>
                </m:rPr>
                <m:t>e</m:t>
              </m:r>
              <m:r>
                <m:rPr>
                  <m:lit m:val="1"/>
                  <m:sty m:val="p"/>
                </m:rPr>
                <m:t>s</m:t>
              </m:r>
              <m:r>
                <m:rPr>
                  <m:lit m:val="1"/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lit m:val="1"/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lim>
          </m:limLow>
          <m:sSub>
            <m:e>
              <m:r>
                <m:t>J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J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lit m:val="1"/>
                      <m:sty m:val="p"/>
                    </m:rPr>
                    <m:t>b</m:t>
                  </m:r>
                  <m:r>
                    <m:rPr>
                      <m:lit m:val="1"/>
                      <m:sty m:val="p"/>
                    </m:rPr>
                    <m:t>e</m:t>
                  </m:r>
                  <m:r>
                    <m:rPr>
                      <m:lit m:val="1"/>
                      <m:sty m:val="p"/>
                    </m:rPr>
                    <m:t>s</m:t>
                  </m:r>
                  <m:r>
                    <m:rPr>
                      <m:lit m:val="1"/>
                      <m:sty m:val="p"/>
                    </m:rPr>
                    <m:t>t</m:t>
                  </m:r>
                </m:sup>
              </m:sSubSup>
            </m:num>
            <m:den>
              <m:r>
                <m:rPr>
                  <m:lit m:val="1"/>
                  <m:sty m:val="p"/>
                </m:rPr>
                <m:t>|</m:t>
              </m:r>
              <m:sSubSup>
                <m:e>
                  <m:r>
                    <m:t>J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lit m:val="1"/>
                      <m:sty m:val="p"/>
                    </m:rPr>
                    <m:t>b</m:t>
                  </m:r>
                  <m:r>
                    <m:rPr>
                      <m:lit m:val="1"/>
                      <m:sty m:val="p"/>
                    </m:rPr>
                    <m:t>e</m:t>
                  </m:r>
                  <m:r>
                    <m:rPr>
                      <m:lit m:val="1"/>
                      <m:sty m:val="p"/>
                    </m:rPr>
                    <m:t>s</m:t>
                  </m:r>
                  <m:r>
                    <m:rPr>
                      <m:lit m:val="1"/>
                      <m:sty m:val="p"/>
                    </m:rPr>
                    <m:t>t</m:t>
                  </m:r>
                </m:sup>
              </m:sSubSup>
              <m:r>
                <m:rPr>
                  <m:lit m:val="1"/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(26)</w:t>
      </w:r>
    </w:p>
    <w:p>
      <w:pPr>
        <w:spacing w:before="40" w:after="40" w:line="240" w:lineRule="auto"/>
        <w:jc w:val="center"/>
      </w:pPr>
      <m:oMathPara xmlns:m="http://schemas.openxmlformats.org/officeDocument/2006/math">
        <m:oMath>
          <m:sSub>
            <m:e>
              <m:r>
                <m:t>x</m:t>
              </m:r>
            </m:e>
            <m:sub>
              <m:r>
                <m:rPr>
                  <m:lit m:val="1"/>
                  <m:sty m:val="p"/>
                </m:rPr>
                <m:t>r</m:t>
              </m:r>
              <m:r>
                <m:rPr>
                  <m:lit m:val="1"/>
                  <m:sty m:val="p"/>
                </m:rPr>
                <m:t>o</m:t>
              </m:r>
              <m:r>
                <m:rPr>
                  <m:lit m:val="1"/>
                  <m:sty m:val="p"/>
                </m:rPr>
                <m:t>b</m:t>
              </m:r>
            </m:sub>
          </m:sSub>
          <m:r>
            <m:rPr>
              <m:sty m:val="p"/>
            </m:rPr>
            <m:t>∈</m:t>
          </m:r>
          <m:sSub>
            <m:e>
              <m:r>
                <m:rPr>
                  <m:lit m:val="1"/>
                  <m:sty m:val="p"/>
                </m:rPr>
                <m:t>argmin</m:t>
              </m:r>
            </m:e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sub>
          </m:sSub>
          <m:limLow>
            <m:e>
              <m:r>
                <m:rPr>
                  <m:lit m:val="1"/>
                  <m:sty m:val="p"/>
                </m:rPr>
                <m:t>max</m:t>
              </m:r>
            </m:e>
            <m:lim>
              <m:r>
                <m:t>s</m:t>
              </m:r>
            </m:lim>
          </m:limLow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rPr>
                  <m:lit m:val="1"/>
                  <m:sty m:val="p"/>
                </m:rPr>
                <m:t>r</m:t>
              </m:r>
              <m:r>
                <m:rPr>
                  <m:lit m:val="1"/>
                  <m:sty m:val="p"/>
                </m:rPr>
                <m:t>o</m:t>
              </m:r>
              <m:r>
                <m:rPr>
                  <m:lit m:val="1"/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lit m:val="1"/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X</m:t>
              </m:r>
            </m:lim>
          </m:limLow>
          <m:limLow>
            <m:e>
              <m:r>
                <m:rPr>
                  <m:lit m:val="1"/>
                  <m:sty m:val="p"/>
                </m:rPr>
                <m:t>max</m:t>
              </m:r>
            </m:e>
            <m:lim>
              <m:r>
                <m:t>s</m:t>
              </m:r>
            </m:lim>
          </m:limLow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  <w:r>
        <w:rPr>
          <w:rFonts w:ascii="Times New Roman" w:hAnsi="Times New Roman" w:eastAsia="宋体"/>
          <w:b w:val="0"/>
          <w:sz w:val="22"/>
        </w:rPr>
        <w:t xml:space="preserve">  (27)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有场景Loss为正；实际值完全并列时按固定候选标识选择展示代表，近并列标志不改变真正取最小的规则。全165组的最小最大相对后悔值最高1.5465%，图12展示其中4096上下文的33组。把相同推荐另置于零收益压力情景，最高后悔为2.5946%；零收益基准使用正收益候选与零收益候选的并集，但没有参与原推荐选择。该结论只针对已互评的候选及情景，不转移到后续有限库的新推荐，也不是连续域稳健保证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878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图12  上下文4096的33组有限候选六情景后悔值；全165组最大值由完整互评计算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零收益负对照中，330个自由Q配置均返回基线质量，最大偏差约</w:t>
      </w:r>
      <m:oMath xmlns:m="http://schemas.openxmlformats.org/officeDocument/2006/math">
        <m:r>
          <m:t>9.50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。理论上，当</w:t>
      </w:r>
      <m:oMath xmlns:m="http://schemas.openxmlformats.org/officeDocument/2006/math">
        <m:r>
          <m:t>κ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  <w:b w:val="0"/>
          <w:sz w:val="24"/>
        </w:rPr>
        <w:t>，把任一可行点的Q替换为</w:t>
      </w:r>
      <m:oMath xmlns:m="http://schemas.openxmlformats.org/officeDocument/2006/math"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保持目标且成本不增；最优解若存在，至少存在基线质量的最优解。只有当节约成本还能换取可行的严格目标改善，例如D可增且</w:t>
      </w:r>
      <m:oMath xmlns:m="http://schemas.openxmlformats.org/officeDocument/2006/math">
        <m:sSub>
          <m:e>
            <m: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宋体"/>
          <w:b w:val="0"/>
          <w:sz w:val="24"/>
        </w:rPr>
        <w:t>时，才可进一步排除较高Q的最优解，不能无条件宣称策略唯一。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6.2  求解器与复算一致性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LSQP与COBYQA的30对比较使用相同25锚点域、相同3起点，每起点最多3000次内部响应核调用及4000次迭代；这与主矩阵450次迭代设置分开。后处理调用单独记录，未给单方追加额度。结果见图13：60项均收敛可行，但扰动合格为59项，SLSQP为30/30，COBYQA为29/30。</w:t>
      </w:r>
    </w:p>
    <w:p>
      <w:pPr>
        <w:keepNext/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8785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图13  30对同起点、同支持域、同调用上限的求解器比较；扰动不合格例保留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两算法最大Loss差为0.000168474，来自预算</w:t>
      </w:r>
      <m:oMath xmlns:m="http://schemas.openxmlformats.org/officeDocument/2006/math">
        <m:sSup>
          <m:e>
            <m:r>
              <m:t>10</m:t>
            </m:r>
          </m:e>
          <m:sup>
            <m:r>
              <m:t>22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、上下文2048、幂成本的一例；该COBYQA点可行扰动仍能改善</w:t>
      </w:r>
      <m:oMath xmlns:m="http://schemas.openxmlformats.org/officeDocument/2006/math">
        <m:r>
          <m:t>1.64197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，超过登记阈值。对每配置先合计三个起点的内部响应调用，再在30个配置上取中位数，两方法分别为2715.5和4734；这不是每起点调用数或运行时间，只说明这些问题及实现中的调用差异。候选的成本、配比和13域Loss另行重算；最终有限库最大相对预算超额为</w:t>
      </w:r>
      <m:oMath xmlns:m="http://schemas.openxmlformats.org/officeDocument/2006/math">
        <m:r>
          <m:t>9.43362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，在固定的</w:t>
      </w:r>
      <m:oMath xmlns:m="http://schemas.openxmlformats.org/officeDocument/2006/math"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>接受容差内，不能表述成严格零超额。</w:t>
      </w:r>
    </w:p>
    <w:p>
      <w:pPr>
        <w:keepNext/>
        <w:pageBreakBefore w:val="0"/>
        <w:spacing w:before="80" w:after="80" w:line="300" w:lineRule="auto"/>
      </w:pPr>
      <w:r>
        <w:rPr>
          <w:rFonts w:ascii="Times New Roman" w:hAnsi="Times New Roman" w:eastAsia="黑体"/>
          <w:b w:val="0"/>
          <w:sz w:val="24"/>
        </w:rPr>
        <w:t>6.3  适用边界与后续实证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模型的优势是统一三项算力成本，给出可检验的资源替代判据，显式限制配比支持域，并把平均收益、领域损害与策略可识别性一起报告。主要限制来自证据而非优化器：B7半合成质量标尺与本题治理质量尚未独立校准，第二问缺少完整拟合程序、训练/留出ID、参数协方差及B1平行基线参数；规模范围属于条件外推。因此，不报告统计显著性、预测置信区间或实际训练改善率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可执行的后续实证应在同一训练流水线上，对典型预算各选择基线、单项及联合配置，用相同评测集和随机种子组复测13域Loss，同时记录质量处理的真实算力。先校准治理强度和单位Token成本，再判断配对收益及领域退步是否保留；若校准显示收益很弱，应比较基础质量方案与对应弱收益情景下的可行配置，再确定选择。上述校准与训练尚未实施，不把已完成的压力检验当作另一个已交付策略。</w:t>
      </w:r>
    </w:p>
    <w:p>
      <w:pPr>
        <w:keepNext/>
        <w:pageBreakBefore w:val="0"/>
        <w:spacing w:before="160" w:after="8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7  结论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前两问响应与明确治理假设下，建立了N、D、17域配比和质量的联合配置模型，给出三个预算量级及五档上下文的配置结果。注意力与训练成本相当的解析上下文长度为30000；当前模型仅刻画其成本影响。原同域联合配置的平均Loss相对内部规模基线改善4.16%至5.81%，但多数场景伴随个别领域损失，均值目标不能替代领域保障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质量治理同时带来直接收益与Token挤占，资源弹性比中的治理份额修正解释了这一替代关系。质量饱和后，其算力份额可以下降而绝对投入继续增长。成本比较中19/55组排名受端点价格归一化影响，表明价格与形状必须分开。按既定持续性、加密及70%情景支持规则，未发现稳健的联合结构转移；固定配方仅存在一个对阈值敏感的质量启动事件。最终建议以有限候选配置作为条件决策起点，保留其外推与近等价边界，经实际训练验证后再作部署选择。</w:t>
      </w:r>
    </w:p>
    <w:p>
      <w:pPr>
        <w:pageBreakBefore w:val="0"/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参考文献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宋体"/>
          <w:b w:val="0"/>
          <w:sz w:val="24"/>
        </w:rPr>
        <w:t>[1] Hoffmann J, Borgeaud S, Mensch A, et al. An empirical analysis of compute-optimal large language model training[C]. Advances in Neural Information Processing Systems, 35, 2022. DOI: 10.52202/068431-2176.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宋体"/>
          <w:b w:val="0"/>
          <w:sz w:val="24"/>
        </w:rPr>
        <w:t>[2] Liu Q, Zheng X, Muennighoff N, et al. RegMix: Data Mixture as Regression for Language Model Pre-training[C]. International Conference on Learning Representations, 2025.</w:t>
      </w:r>
    </w:p>
    <w:p>
      <w:pPr>
        <w:widowControl/>
        <w:spacing w:before="0" w:after="0" w:line="240" w:lineRule="auto"/>
        <w:jc w:val="both"/>
      </w:pPr>
      <w:r>
        <w:rPr>
          <w:rFonts w:ascii="Times New Roman" w:hAnsi="Times New Roman" w:eastAsia="宋体"/>
          <w:b w:val="0"/>
          <w:sz w:val="24"/>
        </w:rPr>
        <w:t>[3] Virtanen P, Gommers R, Oliphant T E, et al. SciPy 1.0: Fundamental Algorithms for Scientific Computing in Python[J]. Nature Methods, 2020, 17: 261-272. DOI: 10.1038/s41592-019-0686-2.</w:t>
      </w:r>
    </w:p>
    <w:p>
      <w:pPr>
        <w:keepNext/>
        <w:pageBreakBefore w:val="0"/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AI工具使用说明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研究参考分稿使用OpenAI开发的Codex辅助方案衔接讨论、数学推导整理、程序生成与调试、实验执行结果整理、图表制作和文字草拟。本机可验证的客户端版本为0.155.0-alpha.16.3；客户端版本不同于后端模型型号，当前具体后端型号与该预发布构建的发布日期未核实，未借用稳定版本发布日期代填。</w:t>
      </w:r>
    </w:p>
    <w:p>
      <w:pPr>
        <w:widowControl/>
        <w:spacing w:before="0" w:after="0" w:line="24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学论断以文中推导、交接数据和已列文献为依据，数值来自实际保存的条件优化结果。本文没有实际训练所列全部配置，也不声称参赛者已经独立完成、理解并人工审核全文。正式使用前仍须由使用者核对、理解并以自己的语言表述，补齐工具信息，完成全题整合与竞赛要求的最终审核；本分稿不等同于已获正式提交合规认定的作品。</w:t>
      </w:r>
    </w:p>
    <w:sectPr>
      <w:footerReference w:type="default" r:id="rId6"/>
      <w:footerReference w:type="first" r:id="rId7"/>
      <w:headerReference w:type="default" r:id="rId11"/>
      <w:headerReference w:type="first" r:id="rId12"/>
      <w:headerReference w:type="even" r:id="rId13"/>
      <w:footerReference w:type="even" r:id="rId14"/>
      <w:type w:val="nextPage"/>
      <w:pgSz w:w="11906" w:h="16838"/>
      <w:pgMar w:left="1276" w:right="1274" w:gutter="0" w:header="0" w:top="1702" w:footer="992" w:bottom="1048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宋体">
    <w:altName w:val="SimSun"/>
    <w:charset w:val="86"/>
    <w:family w:val="auto"/>
    <w:pitch w:val="variable"/>
  </w:font>
  <w:font w:name="DejaVu Sans"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  <w:font w:name="华文中宋">
    <w:charset w:val="86"/>
    <w:family w:val="auto"/>
    <w:pitch w:val="variable"/>
  </w:font>
  <w:font w:name="华文新魏">
    <w:charset w:val="86"/>
    <w:family w:val="auto"/>
    <w:pitch w:val="variable"/>
  </w:font>
  <w:font w:name="仿宋_GB2312">
    <w:charset w:val="86"/>
    <w:family w:val="modern"/>
    <w:pitch w:val="default"/>
  </w:font>
  <w:font w:name="隶书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jc w:val="center"/>
    </w:pPr>
    <w:fldSimple w:instr="PAGE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cs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TextBody"/>
    <w:qFormat/>
    <w:pPr>
      <w:widowControl/>
      <w:numPr>
        <w:ilvl w:val="2"/>
        <w:numId w:val="1"/>
      </w:numPr>
      <w:spacing w:before="100" w:after="100"/>
      <w:jc w:val="start"/>
      <w:outlineLvl w:val="2"/>
    </w:pPr>
    <w:rPr>
      <w:rFonts w:ascii="宋体;SimSun" w:hAnsi="宋体;SimSun" w:cs="宋体;SimSun"/>
      <w:b/>
      <w:bCs/>
      <w:kern w:val="0"/>
      <w:sz w:val="27"/>
      <w:szCs w:val="27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Cambria" w:hAnsi="Cambria" w:eastAsia="宋体;SimSun" w:cs="Times New Roman"/>
      <w:b/>
      <w:bCs/>
      <w:sz w:val="32"/>
      <w:szCs w:val="32"/>
    </w:rPr>
  </w:style>
  <w:style w:type="character" w:styleId="3">
    <w:name w:val="标题 3 字符"/>
    <w:qFormat/>
    <w:rPr>
      <w:rFonts w:ascii="宋体;SimSun" w:hAnsi="宋体;SimSun" w:eastAsia="宋体;SimSun" w:cs="宋体;SimSun"/>
      <w:b/>
      <w:bCs/>
      <w:kern w:val="0"/>
      <w:sz w:val="27"/>
      <w:szCs w:val="27"/>
    </w:rPr>
  </w:style>
  <w:style w:type="character" w:styleId="Style12">
    <w:name w:val="题注 字符"/>
    <w:qFormat/>
    <w:rPr>
      <w:rFonts w:ascii="Arial" w:hAnsi="Arial" w:eastAsia="黑体;SimHei" w:cs="Arial"/>
      <w:sz w:val="20"/>
      <w:szCs w:val="20"/>
    </w:rPr>
  </w:style>
  <w:style w:type="character" w:styleId="Style13">
    <w:name w:val="批注文字 字符"/>
    <w:qFormat/>
    <w:rPr/>
  </w:style>
  <w:style w:type="character" w:styleId="Style14">
    <w:name w:val="纯文本 字符"/>
    <w:qFormat/>
    <w:rPr>
      <w:rFonts w:ascii="宋体;SimSun" w:hAnsi="宋体;SimSun" w:eastAsia="宋体;SimSun" w:cs="Times New Roman"/>
      <w:kern w:val="0"/>
      <w:szCs w:val="20"/>
    </w:rPr>
  </w:style>
  <w:style w:type="character" w:styleId="Style15">
    <w:name w:val="日期 字符"/>
    <w:qFormat/>
    <w:rPr>
      <w:kern w:val="2"/>
      <w:sz w:val="21"/>
      <w:szCs w:val="22"/>
    </w:rPr>
  </w:style>
  <w:style w:type="character" w:styleId="Style16">
    <w:name w:val="尾注文本 字符"/>
    <w:qFormat/>
    <w:rPr>
      <w:kern w:val="2"/>
      <w:sz w:val="21"/>
      <w:szCs w:val="22"/>
    </w:rPr>
  </w:style>
  <w:style w:type="character" w:styleId="Style17">
    <w:name w:val="批注框文本 字符"/>
    <w:qFormat/>
    <w:rPr>
      <w:sz w:val="18"/>
      <w:szCs w:val="18"/>
    </w:rPr>
  </w:style>
  <w:style w:type="character" w:styleId="Style18">
    <w:name w:val="页脚 字符"/>
    <w:qFormat/>
    <w:rPr>
      <w:sz w:val="18"/>
      <w:szCs w:val="18"/>
    </w:rPr>
  </w:style>
  <w:style w:type="character" w:styleId="Style19">
    <w:name w:val="页眉 字符"/>
    <w:qFormat/>
    <w:rPr>
      <w:sz w:val="18"/>
      <w:szCs w:val="18"/>
    </w:rPr>
  </w:style>
  <w:style w:type="character" w:styleId="Style20">
    <w:name w:val="批注主题 字符"/>
    <w:qFormat/>
    <w:rPr>
      <w:b/>
    </w:rPr>
  </w:style>
  <w:style w:type="character" w:styleId="StrongEmphasis">
    <w:name w:val="Strong Emphasis"/>
    <w:qFormat/>
    <w:rPr>
      <w:b/>
      <w:bCs/>
    </w:rPr>
  </w:style>
  <w:style w:type="character" w:styleId="EndnoteCharacters">
    <w:name w:val="Endnote Characters"/>
    <w:qFormat/>
    <w:rPr>
      <w:vertAlign w:val="superscript"/>
    </w:rPr>
  </w:style>
  <w:style w:type="character" w:styleId="VisitedInternetLink">
    <w:name w:val="FollowedHyperlink"/>
    <w:rPr>
      <w:color w:val="954F72"/>
      <w:u w:val="single"/>
    </w:rPr>
  </w:style>
  <w:style w:type="character" w:styleId="InternetLink">
    <w:name w:val="Hyperlink"/>
    <w:rPr>
      <w:color w:val="0563C1"/>
      <w:u w:val="single"/>
    </w:rPr>
  </w:style>
  <w:style w:type="character" w:styleId="Style21">
    <w:name w:val="批注引用"/>
    <w:qFormat/>
    <w:rPr>
      <w:sz w:val="21"/>
      <w:szCs w:val="21"/>
    </w:rPr>
  </w:style>
  <w:style w:type="character" w:styleId="Style22">
    <w:name w:val="无间距字符"/>
    <w:qFormat/>
    <w:rPr>
      <w:sz w:val="22"/>
      <w:szCs w:val="22"/>
      <w:lang w:val="en-US" w:eastAsia="zh-CN" w:bidi="ar-SA"/>
    </w:rPr>
  </w:style>
  <w:style w:type="character" w:styleId="Appleconvertedspace">
    <w:name w:val="apple-converted-space"/>
    <w:qFormat/>
    <w:rPr/>
  </w:style>
  <w:style w:type="character" w:styleId="Applestylespan">
    <w:name w:val="apple-style-span"/>
    <w:qFormat/>
    <w:rPr/>
  </w:style>
  <w:style w:type="character" w:styleId="Font61">
    <w:name w:val="font61"/>
    <w:qFormat/>
    <w:rPr>
      <w:rFonts w:ascii="宋体;SimSun" w:hAnsi="宋体;SimSun" w:eastAsia="宋体;SimSun" w:cs="宋体;SimSun"/>
      <w:i w:val="false"/>
      <w:color w:val="000000"/>
      <w:sz w:val="28"/>
      <w:szCs w:val="28"/>
      <w:u w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DejaVu Sans" w:hAnsi="DejaVu Sans" w:eastAsia="Noto Sans CJK SC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23">
    <w:name w:val="题注"/>
    <w:basedOn w:val="Normal"/>
    <w:next w:val="Normal"/>
    <w:qFormat/>
    <w:pPr>
      <w:keepNext w:val="false"/>
      <w:keepLines w:val="false"/>
      <w:widowControl/>
      <w:snapToGrid w:val="false"/>
      <w:spacing w:lineRule="atLeast" w:line="240" w:before="152" w:after="160"/>
      <w:ind w:start="1702" w:end="0" w:hanging="0"/>
      <w:jc w:val="start"/>
    </w:pPr>
    <w:rPr>
      <w:rFonts w:ascii="Arial" w:hAnsi="Arial" w:eastAsia="黑体;SimHei" w:cs="Arial"/>
      <w:kern w:val="0"/>
      <w:sz w:val="20"/>
      <w:szCs w:val="20"/>
    </w:rPr>
  </w:style>
  <w:style w:type="paragraph" w:styleId="Style24">
    <w:name w:val="批注文字"/>
    <w:basedOn w:val="Normal"/>
    <w:qFormat/>
    <w:pPr>
      <w:keepNext w:val="false"/>
      <w:keepLines w:val="false"/>
      <w:widowControl w:val="false"/>
      <w:spacing w:before="0" w:after="0"/>
      <w:ind w:start="0" w:end="0" w:hanging="0"/>
      <w:jc w:val="start"/>
    </w:pPr>
    <w:rPr>
      <w:rFonts w:ascii="Calibri" w:hAnsi="Calibri" w:eastAsia="宋体;SimSun" w:cs="Times New Roman"/>
      <w:kern w:val="2"/>
      <w:sz w:val="21"/>
      <w:szCs w:val="22"/>
      <w:lang w:val="en-US" w:eastAsia="zh-CN" w:bidi="ar"/>
    </w:rPr>
  </w:style>
  <w:style w:type="paragraph" w:styleId="Contents3">
    <w:name w:val="TOC 3"/>
    <w:basedOn w:val="Normal"/>
    <w:next w:val="Normal"/>
    <w:pPr>
      <w:ind w:start="840" w:hanging="0"/>
    </w:pPr>
    <w:rPr/>
  </w:style>
  <w:style w:type="paragraph" w:styleId="Style25">
    <w:name w:val="纯文本"/>
    <w:basedOn w:val="Normal"/>
    <w:qFormat/>
    <w:pPr>
      <w:keepNext w:val="false"/>
      <w:keepLines w:val="false"/>
      <w:widowControl w:val="false"/>
      <w:spacing w:lineRule="atLeast" w:line="312" w:before="0" w:after="0"/>
      <w:ind w:start="0" w:end="0" w:hanging="0"/>
      <w:jc w:val="both"/>
    </w:pPr>
    <w:rPr>
      <w:rFonts w:ascii="宋体;SimSun" w:hAnsi="宋体;SimSun" w:cs="Courier New"/>
      <w:kern w:val="0"/>
      <w:sz w:val="20"/>
      <w:szCs w:val="20"/>
    </w:rPr>
  </w:style>
  <w:style w:type="paragraph" w:styleId="Style26">
    <w:name w:val="日期"/>
    <w:basedOn w:val="Normal"/>
    <w:next w:val="Normal"/>
    <w:qFormat/>
    <w:pPr>
      <w:ind w:start="100" w:hanging="0"/>
    </w:pPr>
    <w:rPr/>
  </w:style>
  <w:style w:type="paragraph" w:styleId="Endnote">
    <w:name w:val="Endnote Text"/>
    <w:basedOn w:val="Normal"/>
    <w:pPr>
      <w:snapToGrid w:val="false"/>
      <w:jc w:val="start"/>
    </w:pPr>
    <w:rPr/>
  </w:style>
  <w:style w:type="paragraph" w:styleId="Style27">
    <w:name w:val="批注框文本"/>
    <w:basedOn w:val="Normal"/>
    <w:qFormat/>
    <w:pPr/>
    <w:rPr>
      <w:kern w:val="0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0"/>
      <w:sz w:val="18"/>
      <w:szCs w:val="18"/>
    </w:rPr>
  </w:style>
  <w:style w:type="paragraph" w:styleId="Contents1">
    <w:name w:val="TOC 1"/>
    <w:basedOn w:val="Normal"/>
    <w:next w:val="Normal"/>
    <w:pPr/>
    <w:rPr/>
  </w:style>
  <w:style w:type="paragraph" w:styleId="Contents2">
    <w:name w:val="TOC 2"/>
    <w:basedOn w:val="Normal"/>
    <w:next w:val="Normal"/>
    <w:pPr>
      <w:ind w:start="420" w:hanging="0"/>
    </w:pPr>
    <w:rPr/>
  </w:style>
  <w:style w:type="paragraph" w:styleId="Style28">
    <w:name w:val="普通(网站)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Style29">
    <w:name w:val="批注主题"/>
    <w:basedOn w:val="Style24"/>
    <w:next w:val="Style24"/>
    <w:qFormat/>
    <w:pPr/>
    <w:rPr>
      <w:rFonts w:ascii="Times New Roman" w:hAnsi="Times New Roman" w:cs="Times New Roman"/>
      <w:b/>
      <w:kern w:val="0"/>
      <w:sz w:val="20"/>
      <w:szCs w:val="20"/>
    </w:rPr>
  </w:style>
  <w:style w:type="paragraph" w:styleId="Style30">
    <w:name w:val="无间距"/>
    <w:qFormat/>
    <w:pPr>
      <w:widowControl/>
      <w:bidi w:val="0"/>
    </w:pPr>
    <w:rPr>
      <w:rFonts w:ascii="Times New Roman" w:hAnsi="Times New Roman" w:eastAsia="宋体;SimSun" w:cs="Times New Roman"/>
      <w:color w:val="auto"/>
      <w:sz w:val="22"/>
      <w:szCs w:val="22"/>
      <w:lang w:val="en-US" w:eastAsia="zh-CN" w:bidi="ar-SA"/>
    </w:rPr>
  </w:style>
  <w:style w:type="paragraph" w:styleId="11">
    <w:name w:val="彩色列表 - 强调文字颜色 11"/>
    <w:basedOn w:val="Normal"/>
    <w:qFormat/>
    <w:pPr>
      <w:ind w:firstLine="420"/>
    </w:pPr>
    <w:rPr/>
  </w:style>
  <w:style w:type="paragraph" w:styleId="Style51">
    <w:name w:val="style5"/>
    <w:basedOn w:val="Normal"/>
    <w:qFormat/>
    <w:pPr>
      <w:widowControl/>
      <w:spacing w:before="100" w:after="10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21">
    <w:name w:val="列出段落2"/>
    <w:basedOn w:val="Normal"/>
    <w:qFormat/>
    <w:pPr>
      <w:keepNext w:val="false"/>
      <w:keepLines w:val="false"/>
      <w:widowControl w:val="false"/>
      <w:spacing w:before="0" w:after="0"/>
      <w:ind w:start="0" w:end="0" w:firstLine="420"/>
      <w:jc w:val="both"/>
    </w:pPr>
    <w:rPr>
      <w:rFonts w:ascii="Calibri" w:hAnsi="Calibri" w:eastAsia="宋体;SimSun" w:cs="Times New Roman"/>
      <w:kern w:val="2"/>
      <w:sz w:val="21"/>
      <w:szCs w:val="22"/>
      <w:lang w:val="en-US" w:eastAsia="zh-CN" w:bidi="a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2023-09-08T17:14:00Z</dcterms:created>
  <dc:creator>Jessica</dc:creator>
  <dc:description/>
  <cp:keywords/>
  <dc:language>en-US</dc:language>
  <cp:lastModifiedBy>博文 左</cp:lastModifiedBy>
  <cp:lastPrinted>2023-09-12T08:52:00Z</cp:lastPrinted>
  <dcterms:modified xsi:type="dcterms:W3CDTF">2026-08-27T12:57:00Z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CB813F608F8C47299E072C9CA56D6E41_12</vt:lpwstr>
  </property>
  <property fmtid="{D5CDD505-2E9C-101B-9397-08002B2CF9AE}" pid="3" name="KSOProductBuildVer">
    <vt:lpwstr>2052-12.1.0.18240</vt:lpwstr>
  </property>
  <property fmtid="{D5CDD505-2E9C-101B-9397-08002B2CF9AE}" pid="4" name="_ms_pID_725343">
    <vt:lpwstr>(4)E3BzA9idHJ3fMsb1peQDBLAn9cfTq1XQ1SSk/kRKfHKrsZlNDH3Hde08wmWyC02dd69+H2cB
mx6vOKzq9+pmMRCwMqb0JBqGnQKRTvN48ylYWonHDkJq8Qk04H4Ld8h8cReYVtSvJn83TRxb
jXJzZ25R4VFk9XgukOzEGZoyRcjuZbR2DWExs2eRiyPN8+j5Mdj90CNtDlTWZ/04ToD0IZbh
Lx+YXscxMPAz3mzS2c</vt:lpwstr>
  </property>
  <property fmtid="{D5CDD505-2E9C-101B-9397-08002B2CF9AE}" pid="5" name="_ms_pID_7253431">
    <vt:lpwstr>emdB8XKXYoavASNt+xklCJOcwnDPst/f8TEzKn3xWF3VENqZCHNGLk
h9arA1zZPdnxPPKWjGc/tTZCDj9GGbwDHRJskOdgcmpcFwfmwAgdYJw1bMn7E6VVN17v9K/2
w7lovRjeerbNo9IM6Wm/1nWgZe1YYEH39OwNOjuxuwOJzcs6GOhhpGZN32XuEGBhnscUOwML
eaEWqb3wakMC+Lt+e79Hf748ovH2NYAszI2V</vt:lpwstr>
  </property>
  <property fmtid="{D5CDD505-2E9C-101B-9397-08002B2CF9AE}" pid="6" name="_ms_pID_7253431_00">
    <vt:lpwstr>_ms_pID_7253431</vt:lpwstr>
  </property>
  <property fmtid="{D5CDD505-2E9C-101B-9397-08002B2CF9AE}" pid="7" name="_ms_pID_7253432">
    <vt:lpwstr>vp3+wMAcniTjVjpgzbHLRN+8tEBL+7KW1y6g
9mlyWYYSSj8rXOLbQmJ2dXIwaGLCSqR9TU9uhgNR/sJLUshrdmrOjY4Ydh7MDa7vsiP6xi+1
0in2VwsEaz/NkPwq2qnHnSmfJxbREJHF7OB1Im3OuXJMddyOclCwOlQ4YbSgLpVCbLF1q6b0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
B5+uMH6D47Og84mRQ9pZLUfLRBxcrU8cHx9qQAZtW43FneyDTFqKmbNFAxelrb/4RMbSzduM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_ms_pID_725343_00">
    <vt:lpwstr>_ms_pID_725343</vt:lpwstr>
  </property>
  <property fmtid="{D5CDD505-2E9C-101B-9397-08002B2CF9AE}" pid="12" name="commondata">
    <vt:lpwstr>commondata</vt:lpwstr>
  </property>
  <property fmtid="{D5CDD505-2E9C-101B-9397-08002B2CF9AE}" pid="13" name="sflag">
    <vt:lpwstr>1369883589</vt:lpwstr>
  </property>
</Properties>
</file>