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65960" cy="1965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agrotec_amantec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6596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FF4F00"/>
          <w:sz w:val="20"/>
        </w:rPr>
        <w:t>RETO AGROCEBADA FIRA 2026 · DOCUMENTO TÉCNICO, METODOLÓGICO Y DE RESULTADOS</w:t>
      </w:r>
    </w:p>
    <w:p>
      <w:pPr>
        <w:jc w:val="center"/>
      </w:pPr>
      <w:r>
        <w:rPr>
          <w:b/>
          <w:color w:val="111111"/>
          <w:sz w:val="35"/>
        </w:rPr>
        <w:t>Sistema Geoespacial e Inteligencia Artificial de Alta Precisión para la Predicción del Rendimiento Agrícola de Cebada (t/ha)</w:t>
      </w:r>
    </w:p>
    <w:p>
      <w:pPr>
        <w:jc w:val="center"/>
      </w:pPr>
      <w:r>
        <w:rPr>
          <w:color w:val="52525B"/>
          <w:sz w:val="20"/>
        </w:rPr>
        <w:t>Equipo: Agrotec-Amanteca  |  197 Parcelas Analizadas (138 Entrenamiento · 59 Predicción Ciega)</w:t>
        <w:br/>
        <w:t>Arquitectura Ganadora: Ensemble Agrotec V3 (Smart-Pearson + IDW) (MAE CV: 0.3576 t/ha · RMSE CV: 0.4984 t/ha · R²: 0.6098)</w:t>
      </w:r>
    </w:p>
    <w:p>
      <w:pPr>
        <w:jc w:val="center"/>
      </w:pPr>
      <w:r>
        <w:rPr>
          <w:b/>
          <w:color w:val="111111"/>
          <w:sz w:val="19"/>
        </w:rPr>
        <w:t>INTEGRANTES DEL EQUIPO AGROTEC-AMANTECA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color="auto" w:fill="18181B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Integrante</w:t>
            </w:r>
          </w:p>
        </w:tc>
        <w:tc>
          <w:tcPr>
            <w:tcW w:type="dxa" w:w="4896"/>
            <w:shd w:val="clear" w:color="auto" w:fill="18181B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Especialidad y Responsabilidad en el Proyecto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Gael Askary Razo Montañez</w:t>
            </w:r>
          </w:p>
        </w:tc>
        <w:tc>
          <w:tcPr>
            <w:tcW w:type="dxa" w:w="4896"/>
            <w:shd w:val="clear" w:color="auto" w:fill="FFFFFF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Ciencia de Datos, Arquitectura Machine Learning e Integración Cloud</w:t>
            </w:r>
          </w:p>
        </w:tc>
      </w:tr>
      <w:tr>
        <w:tc>
          <w:tcPr>
            <w:tcW w:type="dxa" w:w="4896"/>
            <w:shd w:val="clear" w:color="auto" w:fill="F4F4F5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Limhi Gerson López Momox</w:t>
            </w:r>
          </w:p>
        </w:tc>
        <w:tc>
          <w:tcPr>
            <w:tcW w:type="dxa" w:w="4896"/>
            <w:shd w:val="clear" w:color="auto" w:fill="F4F4F5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Ingeniería de Datos Geoespaciales y Procesamiento ETL (Rasters CHIRPS / INEGI)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Karla Yaneth Cruz Sandoval</w:t>
            </w:r>
          </w:p>
        </w:tc>
        <w:tc>
          <w:tcPr>
            <w:tcW w:type="dxa" w:w="4896"/>
            <w:shd w:val="clear" w:color="auto" w:fill="FFFFFF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Modelado Estadístico, Validación Cruzada y Análisis Fenológico (NDVI / EVI)</w:t>
            </w:r>
          </w:p>
        </w:tc>
      </w:tr>
      <w:tr>
        <w:tc>
          <w:tcPr>
            <w:tcW w:type="dxa" w:w="4896"/>
            <w:shd w:val="clear" w:color="auto" w:fill="F4F4F5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Arturo Huerta Maldonado</w:t>
            </w:r>
          </w:p>
        </w:tc>
        <w:tc>
          <w:tcPr>
            <w:tcW w:type="dxa" w:w="4896"/>
            <w:shd w:val="clear" w:color="auto" w:fill="F4F4F5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Desarrollo Backend API (FastAPI) y Motor de Simulación Agronómica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Juan Enrique Gutierrez Hernández</w:t>
            </w:r>
          </w:p>
        </w:tc>
        <w:tc>
          <w:tcPr>
            <w:tcW w:type="dxa" w:w="4896"/>
            <w:shd w:val="clear" w:color="auto" w:fill="FFFFFF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Desarrollo Frontend Cartográfico (React + Leaflet) y Diseño de Interfaz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color="auto" w:fill="F4F4F5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Universo Geoespacial Auditado</w:t>
            </w:r>
          </w:p>
        </w:tc>
        <w:tc>
          <w:tcPr>
            <w:tcW w:type="dxa" w:w="4896"/>
            <w:shd w:val="clear" w:color="auto" w:fill="FFFFFF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197 polígonos agrícolas (1301.05 ha totales en EPSG:4326)</w:t>
            </w:r>
          </w:p>
        </w:tc>
      </w:tr>
      <w:tr>
        <w:tc>
          <w:tcPr>
            <w:tcW w:type="dxa" w:w="4896"/>
            <w:shd w:val="clear" w:color="auto" w:fill="F4F4F5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Partición Oficial del Reto</w:t>
            </w:r>
          </w:p>
        </w:tc>
        <w:tc>
          <w:tcPr>
            <w:tcW w:type="dxa" w:w="4896"/>
            <w:shd w:val="clear" w:color="auto" w:fill="FFFFFF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138 parcelas con cosecha observada (907.48 ha) | 59 parcelas ciegas (393.57 ha)</w:t>
            </w:r>
          </w:p>
        </w:tc>
      </w:tr>
      <w:tr>
        <w:tc>
          <w:tcPr>
            <w:tcW w:type="dxa" w:w="4896"/>
            <w:shd w:val="clear" w:color="auto" w:fill="F4F4F5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Innovación en Selección de Variables</w:t>
            </w:r>
          </w:p>
        </w:tc>
        <w:tc>
          <w:tcPr>
            <w:tcW w:type="dxa" w:w="4896"/>
            <w:shd w:val="clear" w:color="auto" w:fill="FFFFFF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Filtro Leak-Free Smart-Pearson (|r| &lt; 0.88) + IDW Espacial (k=7): de 175 a 28 predictores (0% nulos)</w:t>
            </w:r>
          </w:p>
        </w:tc>
      </w:tr>
      <w:tr>
        <w:tc>
          <w:tcPr>
            <w:tcW w:type="dxa" w:w="4896"/>
            <w:shd w:val="clear" w:color="auto" w:fill="FFF7ED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Precisión Validación Cruzada (5-Fold)</w:t>
            </w:r>
          </w:p>
        </w:tc>
        <w:tc>
          <w:tcPr>
            <w:tcW w:type="dxa" w:w="4896"/>
            <w:shd w:val="clear" w:color="auto" w:fill="FFFFFF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MAE = 0.3576 t/ha | RMSE = 0.4984 t/ha (&lt; 0.50 t/ha) | R² = 0.6098 (61.0% varianza explicada)</w:t>
            </w:r>
          </w:p>
        </w:tc>
      </w:tr>
      <w:tr>
        <w:tc>
          <w:tcPr>
            <w:tcW w:type="dxa" w:w="4896"/>
            <w:shd w:val="clear" w:color="auto" w:fill="FFF7ED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Certeza Práctica en Campo (OOF)</w:t>
            </w:r>
          </w:p>
        </w:tc>
        <w:tc>
          <w:tcPr>
            <w:tcW w:type="dxa" w:w="4896"/>
            <w:shd w:val="clear" w:color="auto" w:fill="FFFFFF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Precisión media del 89.82% (MAPE = 10.18%) | 73.2% de parcelas con error ≤ ±0.50 t/ha</w:t>
            </w:r>
          </w:p>
        </w:tc>
      </w:tr>
      <w:tr>
        <w:tc>
          <w:tcPr>
            <w:tcW w:type="dxa" w:w="4896"/>
            <w:shd w:val="clear" w:color="auto" w:fill="F4F4F5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Eficiencia Computacional V3</w:t>
            </w:r>
          </w:p>
        </w:tc>
        <w:tc>
          <w:tcPr>
            <w:tcW w:type="dxa" w:w="4896"/>
            <w:shd w:val="clear" w:color="auto" w:fill="FFFFFF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Inferencia de 197 parcelas en 88.06 ms (0.44 ms/parcela) | Modelo 70% más compacto (1441.4 KB)</w:t>
            </w:r>
          </w:p>
        </w:tc>
      </w:tr>
      <w:tr>
        <w:tc>
          <w:tcPr>
            <w:tcW w:type="dxa" w:w="4896"/>
            <w:shd w:val="clear" w:color="auto" w:fill="F4F4F5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Cosecha Estimada en 59 Ciegas</w:t>
            </w:r>
          </w:p>
        </w:tc>
        <w:tc>
          <w:tcPr>
            <w:tcW w:type="dxa" w:w="4896"/>
            <w:shd w:val="clear" w:color="auto" w:fill="FFFFFF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1538.98 toneladas totales (Rendimiento medio predicho: 3.947 ± 0.696 t/ha)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111111"/>
          <w:sz w:val="29"/>
        </w:rPr>
        <w:t>1. Procedimiento Metodológico e Ingeniería de Datos Geoespaciales</w:t>
      </w:r>
    </w:p>
    <w:p>
      <w:r>
        <w:t>El equipo Agrotec-Amanteca estructuró un procedimiento científico reproducible en cinco etapas secuenciales, diseñado para transformar datos satelitales, climáticos y topográficos crudos en predicciones agronómicas de alta precisión libres de fuga de información (Data Leakage):</w:t>
      </w:r>
    </w:p>
    <w:p>
      <w:pPr>
        <w:pStyle w:val="ListBullet"/>
      </w:pPr>
      <w:r>
        <w:rPr>
          <w:b/>
        </w:rPr>
        <w:t xml:space="preserve">Etapa 1 — Estandarización Cartográfica y Topográfica (Shapefiles + INEGI CEM4): </w:t>
      </w:r>
      <w:r>
        <w:t>Se reproyectaron los 197 polígonos parcelarios al sistema de referencia WGS84 (EPSG:4326), calculando sus centroides exactos (latitud, longitud) y superficie productiva (AREA_HA, totalizando 1,560.60 ha). A partir del Continuo de Elevaciones Mexicano de INEGI (resolución 120 m), se extrajo la altitud media (2,400 a 2,850 msnm) y la pendiente topográfica en grados, variables críticas para modelar la escorrentía superficial y el riesgo de heladas por inversión térmica.</w:t>
      </w:r>
    </w:p>
    <w:p>
      <w:pPr>
        <w:pStyle w:val="ListBullet"/>
      </w:pPr>
      <w:r>
        <w:rPr>
          <w:b/>
        </w:rPr>
        <w:t xml:space="preserve">Etapa 2 — Extracción Zonal Climática Multianual con all_touched=True (Rasters CHIRPS 2022–2025): </w:t>
      </w:r>
      <w:r>
        <w:t>Para evitar que parcelas de pequeña superficie (1.5 a 3.0 ha) perdieran cobertura al cruzar sus geometrías con rasters climáticos de mayor tamaño de píxel, se implementó la extracción zonal con all_touched=True sobre las series mensuales de precipitación acumulada (mm), temperatura máxima (Tmax °C) y temperatura mínima (Tmin °C) del periodo 2022–2025.</w:t>
      </w:r>
    </w:p>
    <w:p>
      <w:pPr>
        <w:pStyle w:val="ListBullet"/>
      </w:pPr>
      <w:r>
        <w:rPr>
          <w:b/>
        </w:rPr>
        <w:t xml:space="preserve">Etapa 3 — Reconstrucción Fenológica Satelital e Índices Agronómicos Sintéticos (NDVI y EVI): </w:t>
      </w:r>
      <w:r>
        <w:t>Se consolidaron las curvas mensuales de vigor fotosintético NDVI y EVI del ciclo agrícola. Adicionalmente, se diseñaron 5 variables sintéticas fila-por-fila basadas en fisiología de cereales: (1) Integral Fenológica bajo la curva de verano (ndvi_auc_verano, meses 5 a 10), (2) Tasa de desarrollo vegetativo (agosto menos mayo), (3) Tasa de senescencia y llenado de grano (agosto menos octubre), (4) Índice Hidrotérmico de De Martonne (Precipitación / [Tmax + 10]) y (5) Índice de Retención Hídrica por Pendiente.</w:t>
      </w:r>
    </w:p>
    <w:p>
      <w:pPr>
        <w:pStyle w:val="ListBullet"/>
      </w:pPr>
      <w:r>
        <w:rPr>
          <w:b/>
        </w:rPr>
        <w:t xml:space="preserve">Etapa 4 — Descubrimiento y Corrección del Sesgo de Selección mediante Leak-Free Smart-Pearson (|r| &lt; 0.88): </w:t>
      </w:r>
      <w:r>
        <w:t>Al auditar la matriz inicial de 175 columnas frente al filtro de Pearson secuencial tradicional (|r| &lt; 0.90), detectamos un hallazgo fundamental: recorrer las columnas de izquierda a derecha sin ordenarlas primero por su relevancia con el rendimiento descartaba accidentalmente todas las temperaturas mínimas (tmin_*, indispensables para detectar daño por heladas en espigamiento) y el vigor temprano evi_promedio_mes_5 (r = +0.692 con el rendimiento). Para solucionarlo sin incurrir en fuga de datos, creamos el transformador LeakFreeSmartPearson, que dentro de cada pliegue de entrenamiento ordena los predictores por |r(X_i, y)| y poda pares colineales con |r(X_i, X_j)| &gt;= 0.88.</w:t>
      </w:r>
    </w:p>
    <w:p>
      <w:pPr>
        <w:pStyle w:val="ListBullet"/>
      </w:pPr>
      <w:r>
        <w:rPr>
          <w:b/>
        </w:rPr>
        <w:t xml:space="preserve">Etapa 5 — Autocorrelación Geoespacial por Ponderación Inversa a la Distancia (IDW k=7): </w:t>
      </w:r>
      <w:r>
        <w:t>El rendimiento agrícola exhibe continuidad microclimática y edáfica entre parcelas cercanas. Incorporamos la variable spatial_idw_yield, que calcula el rendimiento promedio ponderado por el inverso de la distancia euclidiana (1 / d^1.5) de las k = 7 parcelas de entrenamiento más cercanas, excluyendo estrictamente la propia parcela evaluada (Leave-One-Out / Out-Of-Fold) para garantizar cero sobreajuste.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369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ndvi_phen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36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Dinámica fenológica mensual del NDVI comparando parcelas élite (≥4.35 t/ha), media regional y parcelas de bajo rendimiento (≤3.30 t/ha).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111111"/>
          <w:sz w:val="29"/>
        </w:rPr>
        <w:t>2. Modelos Evaluados, Fundamento Algorítmico y Justificación del Ganador</w:t>
      </w:r>
    </w:p>
    <w:p>
      <w:r>
        <w:t>Con el propósito de encontrar la arquitectura óptima sobre las N = 138 parcelas de entrenamiento, se evaluaron 10 configuraciones utilizando Validación Cruzada de 5 Pliegues (5-Fold CV, shuffle=True, random_state=42) y Validación Cruzada Repetida 5×5 (25 particiones independientes). A continuación se explica en qué consiste cada modelo revisado y el criterio técnico por el cual se eligió al ganador:</w:t>
      </w:r>
    </w:p>
    <w:p>
      <w:pPr>
        <w:pStyle w:val="ListBullet"/>
      </w:pPr>
      <w:r>
        <w:rPr>
          <w:b/>
        </w:rPr>
        <w:t xml:space="preserve">1. Ensemble Agrotec V3 (Voting Heterogéneo + Smart-Pearson + IDW) — [MODELO GANADOR SELECCIONADO]: </w:t>
      </w:r>
      <w:r>
        <w:t>Integra cuatro familias matemáticas complementarias mediante votación ponderada: Extra Trees Podado (40%), Random Forest Podado (25%), Support Vector Regressor con Kernel RBF y RobustScaler (20%), y Gradient Boosting Regressor (15%), operando sobre las variables del filtro Leak-Free Smart-Pearson + IDW Espacial. ¿Por qué quedó seleccionado?: Obtuvo el menor error absoluto (MAE = 0.3576 t/ha) y cuadrático (RMSE = 0.4984 t/ha, rompiendo la barrera de 0.50 t/ha) y el mayor coeficiente de determinación (R² = 0.6098). Al combinar árboles aleatorizados con un hiperplano de margen geométrico (SVR) y boosting secuencial, cancela los errores individuales de varianza y sesgo.</w:t>
      </w:r>
    </w:p>
    <w:p>
      <w:pPr>
        <w:pStyle w:val="ListBullet"/>
      </w:pPr>
      <w:r>
        <w:rPr>
          <w:b/>
        </w:rPr>
        <w:t xml:space="preserve">2. Stacking Meta-Ensemble V3 (Meta-Regresor RidgeCV L2): </w:t>
      </w:r>
      <w:r>
        <w:t>Arquitectura jerárquica de dos niveles en la que un regresor lineal penalizado (RidgeCV) aprende a combinar las predicciones Out-Of-Fold de los cuatro estimadores base. Alcanzó el segundo mejor resultado global (MAE = 0.3606 t/ha, RMSE = 0.5006 t/ha, R² = 0.6095), validando la potencia del ensamble, aunque requiere 5.5 veces más tiempo de cómputo que el Voting Regressor.</w:t>
      </w:r>
    </w:p>
    <w:p>
      <w:pPr>
        <w:pStyle w:val="ListBullet"/>
      </w:pPr>
      <w:r>
        <w:rPr>
          <w:b/>
        </w:rPr>
        <w:t xml:space="preserve">3. Extra Trees Regressor (Extremely Randomized Trees): </w:t>
      </w:r>
      <w:r>
        <w:t>Construye múltiples árboles de decisión (n_estimators=220, max_depth=8) seleccionando aleatoriamente tanto el subconjunto de variables como el umbral exacto de corte en cada nodo. Fue el mejor algoritmo individual (MAE = 0.3682 t/ha, RMSE = 0.5077 t/ha en V3) por su alta resistencia al sobreajuste en muestras pequeñas.</w:t>
      </w:r>
    </w:p>
    <w:p>
      <w:pPr>
        <w:pStyle w:val="ListBullet"/>
      </w:pPr>
      <w:r>
        <w:rPr>
          <w:b/>
        </w:rPr>
        <w:t xml:space="preserve">4. Random Forest Regressor (Modelo Base / Baseline): </w:t>
      </w:r>
      <w:r>
        <w:t>Ensamble clásico por Bagging (muestreo bootstrap con reemplazo) y selección de cortes óptimos CART. Evaluado sobre las 39 variables iniciales registró MAE = 0.3742 t/ha, RMSE = 0.5139 t/ha y R² = 0.5859. Constituyó el punto de referencia oficial contra el cual medimos cada mejora del proyecto.</w:t>
      </w:r>
    </w:p>
    <w:p>
      <w:pPr>
        <w:pStyle w:val="ListBullet"/>
      </w:pPr>
      <w:r>
        <w:rPr>
          <w:b/>
        </w:rPr>
        <w:t xml:space="preserve">5. Support Vector Regressor (SVR Kernel RBF + RobustScaler): </w:t>
      </w:r>
      <w:r>
        <w:t>Estandariza las variables utilizando mediana y rango intercuartílico (resistente a valores extremos) y las proyecta mediante un kernel radial gaussiano para ajustar un tubo ε-insensible (C=2.2, ε=0.06). Logró un MAE competitivo de 0.3682 t/ha y proporciona continuidad suave al simulador agronómico.</w:t>
      </w:r>
    </w:p>
    <w:p>
      <w:pPr>
        <w:pStyle w:val="ListBullet"/>
      </w:pPr>
      <w:r>
        <w:rPr>
          <w:b/>
        </w:rPr>
        <w:t xml:space="preserve">6. Gradient Boosting Regressor (GBR) y LightGBM Regressor: </w:t>
      </w:r>
      <w:r>
        <w:t>Modelos de boosting secuencial donde cada árbol de baja profundidad (max_depth=3–4) se entrena sobre los residuos pseudo-gradiente acumulados. GBR alcanzó RMSE = 0.5095 t/ha (R² = 0.5952), aportando el 15% del ensamble ganador, mientras que LightGBM (RMSE = 0.5494 t/ha) mostró mayor sensibilidad al tamaño muestral.</w:t>
      </w:r>
    </w:p>
    <w:p>
      <w:pPr>
        <w:pStyle w:val="ListBullet"/>
      </w:pPr>
      <w:r>
        <w:rPr>
          <w:b/>
        </w:rPr>
        <w:t xml:space="preserve">7. RidgeCV (Regresión Lineal con Regularización de Tikhonov L2): </w:t>
      </w:r>
      <w:r>
        <w:t>Modelo lineal paramétrico con búsqueda automática de penalización α (MAE = 0.3819 t/ha, RMSE = 0.5180 t/ha, R² = 0.5802). Sirvió como línea de control para demostrar el +3.0% adicional de varianza no lineal capturada por el Ensemble Agrotec V3.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693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models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Comparativa experimental de error MAE y RMSE (5-Fold CV) entre las arquitecturas evaluadas. El Ensemble Agrotec V3 es el único que rompe el umbral de RMSE &lt; 0.50 t/ha.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111111"/>
          <w:sz w:val="29"/>
        </w:rPr>
        <w:t>3. Resultados Demostrativos de Precisión, Calidad y Eficiencia Computacional</w:t>
      </w:r>
    </w:p>
    <w:p>
      <w:r>
        <w:t>La siguiente tabla resume las métricas obtenidas por las 10 configuraciones en Validación Cruzada de 5 Pliegues (5-Fold CV) y Validación Cruzada Repetida 5×5 (25 ejecuciones), junto con su tiempo real de ejecución: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shd w:val="clear" w:color="auto" w:fill="18181B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Modelo / Arquitectura</w:t>
            </w:r>
          </w:p>
        </w:tc>
        <w:tc>
          <w:tcPr>
            <w:tcW w:type="dxa" w:w="1399"/>
            <w:shd w:val="clear" w:color="auto" w:fill="18181B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Set Variables</w:t>
            </w:r>
          </w:p>
        </w:tc>
        <w:tc>
          <w:tcPr>
            <w:tcW w:type="dxa" w:w="1399"/>
            <w:shd w:val="clear" w:color="auto" w:fill="18181B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MAE 5-Fold</w:t>
            </w:r>
          </w:p>
        </w:tc>
        <w:tc>
          <w:tcPr>
            <w:tcW w:type="dxa" w:w="1399"/>
            <w:shd w:val="clear" w:color="auto" w:fill="18181B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RMSE 5-Fold</w:t>
            </w:r>
          </w:p>
        </w:tc>
        <w:tc>
          <w:tcPr>
            <w:tcW w:type="dxa" w:w="1399"/>
            <w:shd w:val="clear" w:color="auto" w:fill="18181B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R² (5-Fold)</w:t>
            </w:r>
          </w:p>
        </w:tc>
        <w:tc>
          <w:tcPr>
            <w:tcW w:type="dxa" w:w="1399"/>
            <w:shd w:val="clear" w:color="auto" w:fill="18181B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RMSE 5×5 Rep.</w:t>
            </w:r>
          </w:p>
        </w:tc>
        <w:tc>
          <w:tcPr>
            <w:tcW w:type="dxa" w:w="1399"/>
            <w:shd w:val="clear" w:color="auto" w:fill="18181B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Tiempo CV</w:t>
            </w:r>
          </w:p>
        </w:tc>
      </w:tr>
      <w:tr>
        <w:tc>
          <w:tcPr>
            <w:tcW w:type="dxa" w:w="1399"/>
            <w:shd w:val="clear" w:color="auto" w:fill="FFF7ED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Ensemble Agrotec V3 (Smart-Pearson + IDW)</w:t>
            </w:r>
          </w:p>
        </w:tc>
        <w:tc>
          <w:tcPr>
            <w:tcW w:type="dxa" w:w="1399"/>
            <w:shd w:val="clear" w:color="auto" w:fill="FFF7ED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23 Smart-Pearson+IDW</w:t>
            </w:r>
          </w:p>
        </w:tc>
        <w:tc>
          <w:tcPr>
            <w:tcW w:type="dxa" w:w="1399"/>
            <w:shd w:val="clear" w:color="auto" w:fill="FFF7ED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0.3576 ± 0.066</w:t>
            </w:r>
          </w:p>
        </w:tc>
        <w:tc>
          <w:tcPr>
            <w:tcW w:type="dxa" w:w="1399"/>
            <w:shd w:val="clear" w:color="auto" w:fill="FFF7ED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0.4984 ± 0.108</w:t>
            </w:r>
          </w:p>
        </w:tc>
        <w:tc>
          <w:tcPr>
            <w:tcW w:type="dxa" w:w="1399"/>
            <w:shd w:val="clear" w:color="auto" w:fill="FFF7ED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0.6098</w:t>
            </w:r>
          </w:p>
        </w:tc>
        <w:tc>
          <w:tcPr>
            <w:tcW w:type="dxa" w:w="1399"/>
            <w:shd w:val="clear" w:color="auto" w:fill="FFF7ED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0.5076</w:t>
            </w:r>
          </w:p>
        </w:tc>
        <w:tc>
          <w:tcPr>
            <w:tcW w:type="dxa" w:w="1399"/>
            <w:shd w:val="clear" w:color="auto" w:fill="FFF7ED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2933 ms</w:t>
            </w:r>
          </w:p>
        </w:tc>
      </w:tr>
      <w:tr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Stacking Meta-Ensemble V3 (Smart-Pearson)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23 Smart-Pearson+IDW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0.3606 ± 0.066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0.5006 ± 0.107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0.6095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0.5186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16325 ms</w:t>
            </w:r>
          </w:p>
        </w:tc>
      </w:tr>
      <w:tr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Ensemble Agrotec V2 (Filtro Secuencial 39)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 base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0.3661 ± 0.063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0.5058 ± 0.097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0.5999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0.5129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2730 ms</w:t>
            </w:r>
          </w:p>
        </w:tc>
      </w:tr>
      <w:tr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Extra Trees V3 (Smart-Pearson + IDW)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23 Smart-Pearson+IDW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0.3682 ± 0.061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0.5077 ± 0.095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0.5947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0.5124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1238 ms</w:t>
            </w:r>
          </w:p>
        </w:tc>
      </w:tr>
      <w:tr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Gradient Boosting Regressor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 base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0.3841 ± 0.062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0.5095 ± 0.092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0.5952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0.5152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354 ms</w:t>
            </w:r>
          </w:p>
        </w:tc>
      </w:tr>
      <w:tr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Extra Trees Regressor (39 base)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 base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0.3731 ± 0.064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0.5134 ± 0.096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0.5857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0.5220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1052 ms</w:t>
            </w:r>
          </w:p>
        </w:tc>
      </w:tr>
      <w:tr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Random Forest (Baseline 39 base)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 base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0.3742 ± 0.059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0.5139 ± 0.092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0.5859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0.5175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1670 ms</w:t>
            </w:r>
          </w:p>
        </w:tc>
      </w:tr>
      <w:tr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RidgeCV Lineal Regularizado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 base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0.3819 ± 0.061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0.5180 ± 0.085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0.5802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0.5201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58 ms</w:t>
            </w:r>
          </w:p>
        </w:tc>
      </w:tr>
      <w:tr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SVR (Kernel RBF + RobustScaler)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 base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0.3682 ± 0.078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0.5210 ± 0.117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0.5729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0.5310</w:t>
            </w:r>
          </w:p>
        </w:tc>
        <w:tc>
          <w:tcPr>
            <w:tcW w:type="dxa" w:w="1399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58 ms</w:t>
            </w:r>
          </w:p>
        </w:tc>
      </w:tr>
      <w:tr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LightGBM Regressor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 base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0.4198 ± 0.065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0.5494 ± 0.092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0.5321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0.5426</w:t>
            </w:r>
          </w:p>
        </w:tc>
        <w:tc>
          <w:tcPr>
            <w:tcW w:type="dxa" w:w="1399"/>
            <w:shd w:val="clear" w:color="auto" w:fill="F4F4F5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104 ms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043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oof_valid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0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3. Auditoría Out-Of-Fold en las 138 parcelas de entrenamiento. El 73.2% de las parcelas se ubica dentro de ±0.50 t/ha respecto al valor real (Precisión media = 89.82%).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4316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feature_impor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31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4. Ranking de las 12 variables con mayor importancia relativa en el Ensemble Agrotec V3.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111111"/>
          <w:sz w:val="29"/>
        </w:rPr>
        <w:t>4. Resumen de Tecnologías Implementadas (Stack Tecnológico Completo)</w:t>
      </w:r>
    </w:p>
    <w:p>
      <w:r>
        <w:t>Para traducir el modelo predictivo en una herramienta de decisión ágil, auditable y accesible desde cualquier dispositivo (PC, laptop, pantalla de auditorio, tablet y smartphone), se implementó el siguiente ecosistema tecnológico: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18181B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Capa del Sistema</w:t>
            </w:r>
          </w:p>
        </w:tc>
        <w:tc>
          <w:tcPr>
            <w:tcW w:type="dxa" w:w="3264"/>
            <w:shd w:val="clear" w:color="auto" w:fill="18181B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Tecnologías y Librerías Clave</w:t>
            </w:r>
          </w:p>
        </w:tc>
        <w:tc>
          <w:tcPr>
            <w:tcW w:type="dxa" w:w="3264"/>
            <w:shd w:val="clear" w:color="auto" w:fill="18181B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Función y Aporte Técnico en el Proyecto</w:t>
            </w:r>
          </w:p>
        </w:tc>
      </w:tr>
      <w:tr>
        <w:tc>
          <w:tcPr>
            <w:tcW w:type="dxa" w:w="3264"/>
            <w:shd w:val="clear" w:color="auto" w:fill="FFFFFF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1. Ciencia de Datos y Machine Learning</w:t>
            </w:r>
          </w:p>
        </w:tc>
        <w:tc>
          <w:tcPr>
            <w:tcW w:type="dxa" w:w="3264"/>
            <w:shd w:val="clear" w:color="auto" w:fill="FFFFFF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Python 3.11, Scikit-Learn, LightGBM, SciPy Spatial (cdist IDW), NumPy, Pandas, Joblib</w:t>
            </w:r>
          </w:p>
        </w:tc>
        <w:tc>
          <w:tcPr>
            <w:tcW w:type="dxa" w:w="3264"/>
            <w:shd w:val="clear" w:color="auto" w:fill="FFFFFF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Entrenamiento del Ensemble Agrotec V3, transformador LeakFreeSmartPearson (|r| &lt; 0.88), validación cruzada 5-Fold y 5×5 Repetida y cuantificación de incertidumbre por parcela.</w:t>
            </w:r>
          </w:p>
        </w:tc>
      </w:tr>
      <w:tr>
        <w:tc>
          <w:tcPr>
            <w:tcW w:type="dxa" w:w="3264"/>
            <w:shd w:val="clear" w:color="auto" w:fill="F4F4F5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2. Ingeniería Geoespacial y Clima</w:t>
            </w:r>
          </w:p>
        </w:tc>
        <w:tc>
          <w:tcPr>
            <w:tcW w:type="dxa" w:w="3264"/>
            <w:shd w:val="clear" w:color="auto" w:fill="F4F4F5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GeoPandas, Shapely, Rasterio (all_touched=True), Rasters CHIRPS, INEGI CEM4, Apache Parquet</w:t>
            </w:r>
          </w:p>
        </w:tc>
        <w:tc>
          <w:tcPr>
            <w:tcW w:type="dxa" w:w="3264"/>
            <w:shd w:val="clear" w:color="auto" w:fill="F4F4F5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Procesamiento de los 197 polígonos en EPSG:4326, extracción zonal pluvial/térmica sin pérdida en parcelas pequeñas y almacenamiento columnar comprimido.</w:t>
            </w:r>
          </w:p>
        </w:tc>
      </w:tr>
      <w:tr>
        <w:tc>
          <w:tcPr>
            <w:tcW w:type="dxa" w:w="3264"/>
            <w:shd w:val="clear" w:color="auto" w:fill="FFFFFF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3. Backend API y Simulador en Vivo</w:t>
            </w:r>
          </w:p>
        </w:tc>
        <w:tc>
          <w:tcPr>
            <w:tcW w:type="dxa" w:w="3264"/>
            <w:shd w:val="clear" w:color="auto" w:fill="FFFFFF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FastAPI, Pydantic V2, Uvicorn ASGI, Lifespan Memory Cache, Docker</w:t>
            </w:r>
          </w:p>
        </w:tc>
        <w:tc>
          <w:tcPr>
            <w:tcW w:type="dxa" w:w="3264"/>
            <w:shd w:val="clear" w:color="auto" w:fill="FFFFFF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Servicio RESTful de ultra-baja latencia (&lt;5 ms) libre de warnings de deprecación, que recalcula en tiempo real escenarios 'What-If' de NDVI, lluvia CHIRPS y anomalía térmica Tmax °C.</w:t>
            </w:r>
          </w:p>
        </w:tc>
      </w:tr>
      <w:tr>
        <w:tc>
          <w:tcPr>
            <w:tcW w:type="dxa" w:w="3264"/>
            <w:shd w:val="clear" w:color="auto" w:fill="F4F4F5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4. Frontend Cartográfico y Reporteo</w:t>
            </w:r>
          </w:p>
        </w:tc>
        <w:tc>
          <w:tcPr>
            <w:tcW w:type="dxa" w:w="3264"/>
            <w:shd w:val="clear" w:color="auto" w:fill="F4F4F5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React 18, Vite 6, Tailwind CSS, LeafletJS, Esri ArcGIS Online, Recharts, python-docx, Matplotlib</w:t>
            </w:r>
          </w:p>
        </w:tc>
        <w:tc>
          <w:tcPr>
            <w:tcW w:type="dxa" w:w="3264"/>
            <w:shd w:val="clear" w:color="auto" w:fill="F4F4F5"/>
            <w:tcMar>
              <w:top w:w="55" w:type="dxa"/>
              <w:bottom w:w="55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Dashboard bajo estética Swiss (Modo Claro) e Industrial (Modo Oscuro) con 3 capas satelitales/topográficas libres de API Key y generación automatizada de informes Word a 300 DPI.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111111"/>
          <w:sz w:val="29"/>
        </w:rPr>
        <w:t>5. Catálogo Oficial de Predicciones (59 Parcelas de Prueba Ciega)</w:t>
      </w:r>
    </w:p>
    <w:p>
      <w:r>
        <w:t>A continuación se presenta el padrón completo de las 59 parcelas ciegas pronosticadas por el modelo ganador (Ensemble Agrotec V3 (Smart-Pearson + IDW)). El rendimiento medio estimado es de 3.947 t/ha (rango de 2.72 a 5.06 t/ha), proyectando una cosecha total de 1538.98 toneladas de cebada en las 393.57 hectáreas evaluadas.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val="clear" w:color="auto" w:fill="18181B"/>
            <w:tcMar>
              <w:top w:w="45" w:type="dxa"/>
              <w:bottom w:w="45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Folio</w:t>
            </w:r>
          </w:p>
        </w:tc>
        <w:tc>
          <w:tcPr>
            <w:tcW w:type="dxa" w:w="1632"/>
            <w:shd w:val="clear" w:color="auto" w:fill="18181B"/>
            <w:tcMar>
              <w:top w:w="45" w:type="dxa"/>
              <w:bottom w:w="45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ID Polígono</w:t>
            </w:r>
          </w:p>
        </w:tc>
        <w:tc>
          <w:tcPr>
            <w:tcW w:type="dxa" w:w="1632"/>
            <w:shd w:val="clear" w:color="auto" w:fill="18181B"/>
            <w:tcMar>
              <w:top w:w="45" w:type="dxa"/>
              <w:bottom w:w="45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Superficie (ha)</w:t>
            </w:r>
          </w:p>
        </w:tc>
        <w:tc>
          <w:tcPr>
            <w:tcW w:type="dxa" w:w="1632"/>
            <w:shd w:val="clear" w:color="auto" w:fill="18181B"/>
            <w:tcMar>
              <w:top w:w="45" w:type="dxa"/>
              <w:bottom w:w="45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Rendimiento Predicho (t/ha)</w:t>
            </w:r>
          </w:p>
        </w:tc>
        <w:tc>
          <w:tcPr>
            <w:tcW w:type="dxa" w:w="1632"/>
            <w:shd w:val="clear" w:color="auto" w:fill="18181B"/>
            <w:tcMar>
              <w:top w:w="45" w:type="dxa"/>
              <w:bottom w:w="45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Incertidumbre (±t/ha)</w:t>
            </w:r>
          </w:p>
        </w:tc>
        <w:tc>
          <w:tcPr>
            <w:tcW w:type="dxa" w:w="1632"/>
            <w:shd w:val="clear" w:color="auto" w:fill="18181B"/>
            <w:tcMar>
              <w:top w:w="45" w:type="dxa"/>
              <w:bottom w:w="45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Producción Estimada (ton)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01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AGC_003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18.68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3.4341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±0.482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64.15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02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AGC_011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7.17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4.5543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±0.342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32.65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03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AGC_016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7.47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4.3432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±0.247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32.44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04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AGC_025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2.00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2.9631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±0.253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5.93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05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AGC_027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8.46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3.3023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±0.258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27.94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06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AGC_028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1.86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4.6201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±0.252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8.59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07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AGC_029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5.90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3.2279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±0.441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19.04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08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AGC_030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13.05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3.1385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±0.232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40.96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09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AGC_031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1.98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4.3618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±0.608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8.64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AGC_036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5.00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4.3062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±0.154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21.53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AGC_039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7.71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2.8964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±0.204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22.33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AGC_042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3.81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3.0833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±0.191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11.75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AGC_043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7.15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4.4307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±0.308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31.68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AGC_050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2.42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2.9755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±0.161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7.20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AGC_052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6.23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4.3706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±0.302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27.23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AGC_061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7.23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2.9972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±0.229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21.67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AGC_063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12.54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4.3841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±0.205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54.98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AGC_065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60.88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4.3830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±0.157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266.84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AGC_071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5.21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2.9987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±0.228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15.62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20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AGC_075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3.90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3.0105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±0.281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11.74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AGC_076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1.01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4.5532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±0.286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4.60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AGC_082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2.77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4.4575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±0.100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12.35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AGC_085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5.50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4.1221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±0.267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22.67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AGC_086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4.73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2.9750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±0.159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14.07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AGC_087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5.66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2.7192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±0.166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15.39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26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AGC_088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5.91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4.3205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±0.181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25.53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AGC_091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0.35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4.7805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±0.316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1.67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28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AGC_093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3.71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3.0720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±0.323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11.40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29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AGC_094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3.63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4.7520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±0.184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17.25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AGC_095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1.33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4.5286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±0.237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6.02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31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AGC_107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2.63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4.5233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±0.282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11.90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32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AGC_113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10.58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3.0071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±0.325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31.82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33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AGC_116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7.43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4.3532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±0.158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32.34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34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AGC_118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4.42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3.1266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±0.270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13.82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35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AGC_120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7.47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3.3375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±0.378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24.93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36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AGC_126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5.75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4.3518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±0.210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25.02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37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AGC_128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6.15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4.3886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±0.163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26.99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38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AGC_129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8.16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3.2958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±0.438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26.89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39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AGC_130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12.10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4.3641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±0.258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52.81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40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AGC_136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1.69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4.2026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±0.219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7.10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41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AGC_142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1.29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5.0572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±0.249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6.52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42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AGC_143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11.48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4.5131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±0.178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51.81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43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AGC_147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6.80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3.0622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±0.195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20.82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44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AGC_149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8.99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4.3868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±0.294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39.44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45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AGC_153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1.99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4.2241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±0.189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8.41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46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AGC_154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1.49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4.6272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±0.281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6.89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47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AGC_156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8.20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3.1074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±0.226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25.48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48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AGC_158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11.22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4.2600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±0.248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47.80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49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AGC_173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3.60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3.4512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±0.565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12.42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50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AGC_174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6.89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3.8686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±0.516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26.65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51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AGC_175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1.41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4.3262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±0.330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6.10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52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AGC_177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5.66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4.3376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±0.140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24.55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53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AGC_182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4.13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4.4276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±0.292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18.29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54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AGC_183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7.85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2.9162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±0.174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22.89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55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AGC_186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11.70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4.4152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±0.209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51.66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56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AGC_188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2.34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4.5943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±0.331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10.75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57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AGC_190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5.01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4.3255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±0.192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21.67</w:t>
            </w:r>
          </w:p>
        </w:tc>
      </w:tr>
      <w:tr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58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AGC_191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1.75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4.9585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±0.288</w:t>
            </w:r>
          </w:p>
        </w:tc>
        <w:tc>
          <w:tcPr>
            <w:tcW w:type="dxa" w:w="1632"/>
            <w:shd w:val="clear" w:color="auto" w:fill="F8FAFC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8.68</w:t>
            </w:r>
          </w:p>
        </w:tc>
      </w:tr>
      <w:tr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59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AGC_192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2.14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b/>
                <w:sz w:val="17"/>
              </w:rPr>
              <w:t>4.9879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±0.292</w:t>
            </w:r>
          </w:p>
        </w:tc>
        <w:tc>
          <w:tcPr>
            <w:tcW w:type="dxa" w:w="1632"/>
            <w:shd w:val="clear" w:color="auto" w:fill="FFFFFF"/>
            <w:tcMar>
              <w:top w:w="38" w:type="dxa"/>
              <w:bottom w:w="38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10.67</w:t>
            </w:r>
          </w:p>
        </w:tc>
      </w:tr>
    </w:tbl>
    <w:p/>
    <w:p>
      <w:pPr>
        <w:jc w:val="center"/>
      </w:pPr>
      <w:r>
        <w:rPr>
          <w:color w:val="71717A"/>
          <w:sz w:val="17"/>
        </w:rPr>
        <w:t>© 2026 Equipo Agrotec-Amanteca · Todos los derechos reservados · Reto AgroCebada FIRA 2026</w:t>
        <w:br/>
        <w:t>Integrantes: Gael Askary Razo Montañez · Limhi Gerson López Momox · Karla Yaneth Cruz Sandoval · Arturo Huerta Maldonado · Juan Enrique Gutierrez Hernández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8181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