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agrotec_amantec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FF4F00"/>
          <w:sz w:val="20"/>
        </w:rPr>
        <w:t>RETO AGROCEBADA FIRA 2026 · DOCUMENTO TÉCNICO Y METODOLÓGICO</w:t>
      </w:r>
    </w:p>
    <w:p>
      <w:pPr>
        <w:jc w:val="center"/>
      </w:pPr>
      <w:r>
        <w:rPr>
          <w:b/>
          <w:color w:val="111111"/>
          <w:sz w:val="36"/>
        </w:rPr>
        <w:t>Sistema Geoespacial e Inteligencia Artificial de Alta Precisión para la Predicción del Rendimiento Agrícola de Cebada (t/ha)</w:t>
      </w:r>
    </w:p>
    <w:p>
      <w:pPr>
        <w:jc w:val="center"/>
      </w:pPr>
      <w:r>
        <w:rPr>
          <w:color w:val="52525B"/>
          <w:sz w:val="21"/>
        </w:rPr>
        <w:t>Equipo: Agrotec-Amanteca  |  197 Parcelas Analizadas (138 Entrenamiento · 59 Predicción Ciega)</w:t>
        <w:br/>
        <w:t>Modelo Ganador: Ensemble Agrotec V3 (Smart-Pearson + IDW) (MAE CV: 0.3576 t/ha · RMSE CV: 0.4984 t/ha · R²: 0.6098)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Equipo Competidor</w:t>
            </w:r>
          </w:p>
        </w:tc>
        <w:tc>
          <w:tcPr>
            <w:tcW w:type="dxa" w:w="4824"/>
            <w:shd w:val="clear" w:color="auto" w:fill="FFFFFF"/>
          </w:tcPr>
          <w:p>
            <w:r>
              <w:t>Agrotec-Amanteca (Célula de Datos Geoespaciales + Célula Web Cloud)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Universo de Estudio</w:t>
            </w:r>
          </w:p>
        </w:tc>
        <w:tc>
          <w:tcPr>
            <w:tcW w:type="dxa" w:w="4824"/>
            <w:shd w:val="clear" w:color="auto" w:fill="FFFFFF"/>
          </w:tcPr>
          <w:p>
            <w:r>
              <w:t>197 polígonos agrícolas (1301.05 hectáreas totales)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Partición Oficial FIRA</w:t>
            </w:r>
          </w:p>
        </w:tc>
        <w:tc>
          <w:tcPr>
            <w:tcW w:type="dxa" w:w="4824"/>
            <w:shd w:val="clear" w:color="auto" w:fill="FFFFFF"/>
          </w:tcPr>
          <w:p>
            <w:r>
              <w:t>138 parcelas con target observado | 59 parcelas ciegas de prueba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Calidad y Depuración de Datos</w:t>
            </w:r>
          </w:p>
        </w:tc>
        <w:tc>
          <w:tcPr>
            <w:tcW w:type="dxa" w:w="4824"/>
            <w:shd w:val="clear" w:color="auto" w:fill="FFFFFF"/>
          </w:tcPr>
          <w:p>
            <w:r>
              <w:t>Reducción de 175 a 27 variables vía filtro de Pearson (|r| &lt; 0.90), 0% valores nulos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Precisión en Validación Cruzada</w:t>
            </w:r>
          </w:p>
        </w:tc>
        <w:tc>
          <w:tcPr>
            <w:tcW w:type="dxa" w:w="4824"/>
            <w:shd w:val="clear" w:color="auto" w:fill="FFFFFF"/>
          </w:tcPr>
          <w:p>
            <w:r>
              <w:t>MAE = 0.3576 t/ha | RMSE = 0.4984 t/ha | R² = 0.6098 | MAPE OOF = 10.18%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Eficiencia e Infraestructura Cloud</w:t>
            </w:r>
          </w:p>
        </w:tc>
        <w:tc>
          <w:tcPr>
            <w:tcW w:type="dxa" w:w="4824"/>
            <w:shd w:val="clear" w:color="auto" w:fill="FFFFFF"/>
          </w:tcPr>
          <w:p>
            <w:r>
              <w:t>Inferencia de 197 parcelas en 88.06 ms | Backend en Railway + Dashboard Responsive en Vercel/Cloudflare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11111"/>
        </w:rPr>
        <w:t>1. Resumen Ejecutivo y Enfoque Analítico</w:t>
      </w:r>
    </w:p>
    <w:p>
      <w:r>
        <w:t>El presente documento técnico describe la arquitectura de ingeniería de datos geoespaciales, el protocolo de aseguramiento de calidad estadística, el diseño de modelos de aprendizaje automático (Machine Learning) y la plataforma web en la nube desarrollados por el equipo Agrotec-Amanteca para el Reto AgroCebada FIRA 2026. Nuestra prioridad absoluta se centró en tres ejes: (1) la máxima precisión predictiva fuera de muestra sobre las 59 parcelas ciegas, (2) la pureza estadística y trazabilidad física del dataset, y (3) la eficiencia computacional tanto en entrenamiento como en inferencia en tiempo real.</w:t>
      </w:r>
    </w:p>
    <w:p>
      <w:pPr>
        <w:pStyle w:val="Heading1"/>
      </w:pPr>
      <w:r>
        <w:rPr>
          <w:color w:val="111111"/>
        </w:rPr>
        <w:t>2. Calidad del Dataset e Ingeniería de Datos Espaciales</w:t>
      </w:r>
    </w:p>
    <w:p>
      <w:r>
        <w:t>La calidad de cualquier modelo predictivo agrícola está limitada por la fidelidad espacial y temporal de sus variables de entrada. Nuestro pipeline de Ingeniería de Datos procesó múltiples fuentes heterogéneas aplicando controles estrictos de integridad:</w:t>
      </w:r>
    </w:p>
    <w:p>
      <w:pPr>
        <w:pStyle w:val="ListBullet"/>
      </w:pPr>
      <w:r>
        <w:rPr>
          <w:b/>
        </w:rPr>
        <w:t xml:space="preserve">Extracción Zonal Climática con all_touched=True (Rasters CHIRPS 2022–2025): </w:t>
      </w:r>
      <w:r>
        <w:t>Dado que las parcelas de cebada presentan áreas desde 1.5 ha hasta más de 18 ha y los píxeles de precipitación y temperatura máxima (Tmax) poseen resolución espacial kilométrica, se aplicó la regla all_touched=True. Esto garantiza que ningún polígono pequeño quede sin cobertura climática y que los bordes parcelarios capturen fielmente el gradiente microclimático.</w:t>
      </w:r>
    </w:p>
    <w:p>
      <w:pPr>
        <w:pStyle w:val="ListBullet"/>
      </w:pPr>
      <w:r>
        <w:rPr>
          <w:b/>
        </w:rPr>
        <w:t xml:space="preserve">Modelos Digitales de Elevación y Pendiente (INEGI CEM4 a 120 m): </w:t>
      </w:r>
      <w:r>
        <w:t>Se extrajo la altitud media (msnm, rango 2,400–2,850 m) y la pendiente topográfica en grados para modelar la retención de humedad edáfica, el riesgo de heladas y la escorrentía superficial.</w:t>
      </w:r>
    </w:p>
    <w:p>
      <w:pPr>
        <w:pStyle w:val="ListBullet"/>
      </w:pPr>
      <w:r>
        <w:rPr>
          <w:b/>
        </w:rPr>
        <w:t xml:space="preserve">Reconstrucción e Interpolación Fenológica de Índices Satelitales (NDVI): </w:t>
      </w:r>
      <w:r>
        <w:t>A partir de las observaciones multiespectrales libres de nubosidad, se consolidaron perfiles mensuales de NDVI (meses 1 y 5 al 11), cubriendo pre-siembra, emergencia, amacollamiento, encañado, espigamiento (agosto), llenado de grano y madurez fisiológica.</w:t>
      </w:r>
    </w:p>
    <w:p>
      <w:pPr>
        <w:pStyle w:val="ListBullet"/>
      </w:pPr>
      <w:r>
        <w:rPr>
          <w:b/>
        </w:rPr>
        <w:t xml:space="preserve">Control de Multicolinealidad mediante Filtro de Correlación de Pearson (|r| &lt; 0.90): </w:t>
      </w:r>
      <w:r>
        <w:t>La matriz inicial contenía 175 variables brutas. Con N = 138 parcelas de entrenamiento, mantener 175 columnas colineales induce sobreajuste severo (p &gt; N). El filtro de Pearson eliminó el 84.0% de variables redundantes, preservando 27 predictores numéricos ortogonales con 100% de completitud (0 valores nulos) y una correlación media entre pares de apenas 0.3722.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318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dvi_phen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1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Curva fenológica mensual de NDVI comparando parcelas élite (≥4.35 t/ha), media regional y bajo rendimiento.</w:t>
      </w:r>
    </w:p>
    <w:p>
      <w:pPr>
        <w:pStyle w:val="Heading1"/>
      </w:pPr>
      <w:r>
        <w:rPr>
          <w:color w:val="111111"/>
        </w:rPr>
        <w:t>3. Metodología de Modelado, Validación Cruzada y Eficiencia</w:t>
      </w:r>
    </w:p>
    <w:p>
      <w:r>
        <w:t>Para garantizar que el modelo seleccionado generalice con el menor error posible sobre las 59 parcelas ciegas, implementamos un protocolo de doble validación: (1) Validación Cruzada de 5 Pliegues (5-Fold CV, shuffle=True, random_state=42) y (2) Validación Cruzada Repetida 5×5 (25 evaluaciones independientes). Asimismo, se evaluó tanto el conjunto de 39 predictores base como el conjunto extendido a 44 variables con índices fenológicos sintéticos (Integral AUC de NDVI, tasa vegetativa e índice hidrotérmico).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Modelo / Arquitectura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Variables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MAE 5-Fold (t/ha)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RMSE 5-Fold (t/ha)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R² (5-Fold)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Tiempo CV (ms)</w:t>
            </w:r>
          </w:p>
        </w:tc>
      </w:tr>
      <w:tr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Ensemble Agrotec V3 (Smart-Pearson + IDW)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23 Smart-Pearson+IDW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0.3576 ± 0.066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0.4984 ± 0.108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0.6098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2933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Stacking Meta-Ensemble V3 (Smart-Pearson)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23 Smart-Pearson+IDW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0.3606 ± 0.066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0.5006 ± 0.107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0.6095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16325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Ensemble Agrotec V2 (Filtro Secuencial 39)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0.3661 ± 0.063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0.5058 ± 0.097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0.5999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2730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Extra Trees V3 (Smart-Pearson + IDW)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23 Smart-Pearson+IDW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0.3682 ± 0.061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0.5077 ± 0.095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0.5947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1238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Gradient Boosting Regressor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0.3841 ± 0.062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0.5095 ± 0.092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0.5952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354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Extra Trees Regressor (39 base)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0.3731 ± 0.064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0.5134 ± 0.096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0.5857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1052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Random Forest (Baseline 39 base)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0.3742 ± 0.059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0.5139 ± 0.092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0.5859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1670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RidgeCV Lineal Regularizado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0.3819 ± 0.061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0.5180 ± 0.085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0.5802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58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SVR (Kernel RBF + RobustScaler)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0.3682 ± 0.078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0.5210 ± 0.117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0.5729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58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LightGBM Regressor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0.4198 ± 0.065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0.5494 ± 0.092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0.5321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104 ms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20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oof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Desempeño Out-Of-Fold en las 138 parcelas de entrenamiento. El 73.2% de las parcelas se ubica dentro de la banda de ±0.50 t/ha (MAPE = 10.18%).</w:t>
      </w:r>
    </w:p>
    <w:p>
      <w:pPr>
        <w:pStyle w:val="Heading1"/>
      </w:pPr>
      <w:r>
        <w:rPr>
          <w:color w:val="111111"/>
        </w:rPr>
        <w:t>4. Interpretabilidad Agronómica y Variables Determinantes</w:t>
      </w:r>
    </w:p>
    <w:p>
      <w:r>
        <w:t>El análisis de importancia combinada (reducción de impureza en árboles + importancia por permutación fuera de muestra) confirma que el modelo aprende relaciones agronómicas físicamente coherentes: la precipitación durante el establecimiento y encañado (mayo–julio), la regulación térmica pre-siembra y el vigor fotosintético NDVI entre mayo y agosto concentran el mayor poder predictivo.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908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9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Ranking de las 12 variables con mayor peso relativo en la predicción del rendimiento de cebada.</w:t>
      </w:r>
    </w:p>
    <w:p>
      <w:r>
        <w:br w:type="page"/>
      </w:r>
    </w:p>
    <w:p>
      <w:pPr>
        <w:pStyle w:val="Heading1"/>
      </w:pPr>
      <w:r>
        <w:rPr>
          <w:color w:val="111111"/>
        </w:rPr>
        <w:t>5. Catálogo Oficial de Predicciones (59 Parcelas Ciegas)</w:t>
      </w:r>
    </w:p>
    <w:p>
      <w:r>
        <w:t>A continuación se presenta la tabla íntegra con las 59 predicciones generadas por el modelo ganador (Ensemble Agrotec V3 (Smart-Pearson + IDW)). El rendimiento medio predicho es de 3.947 t/ha (desviación estándar de 0.696 t/ha, rango 2.72 a 5.06 t/ha), estimando una cosecha total de 1538.98 toneladas en las 393.57 hectáreas del conjunto de prueba.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ID Polígono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Área (ha)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Rendimiento Predicho (t/ha)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Incertidumbre (±t/ha)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Producción Estimada (ton)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AGC_003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18.68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3.4341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±0.482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64.15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AGC_011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7.17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4.5543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32.65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AGC_016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4.3432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32.44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AGC_025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2.00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2.9631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±0.253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5.93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AGC_027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8.46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3.3023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±0.258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27.94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AGC_028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1.86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4.6201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±0.252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8.59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5.90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3.2279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±0.441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19.04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AGC_030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13.05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3.1385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±0.232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40.96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AGC_031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1.98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4.3618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±0.608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8.64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AGC_036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5.00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4.3062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±0.154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21.53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AGC_039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7.71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2.8964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±0.204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22.33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3.81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3.0833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±0.191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11.75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AGC_043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7.15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4.4307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±0.308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31.68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AGC_050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2.9755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±0.161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7.20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AGC_052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6.23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4.3706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±0.302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27.23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AGC_061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7.23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2.9972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±0.229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21.67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12.54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4.3841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±0.205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54.98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AGC_065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60.88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4.3830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±0.157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266.84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AGC_071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5.21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2.9987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±0.228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15.62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AGC_075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3.90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3.0105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±0.281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11.74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AGC_076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4.5532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±0.286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4.60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AGC_082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2.77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4.4575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±0.100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12.35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AGC_085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5.50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4.1221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±0.267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22.67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AGC_086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2.9750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±0.159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14.07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AGC_087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5.66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2.7192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±0.166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15.39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AGC_088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5.91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4.3205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±0.181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25.53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AGC_091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4.7805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±0.316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1.67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AGC_093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3.71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3.0720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±0.323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11.40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AGC_094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4.7520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±0.184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17.25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AGC_095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1.33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4.5286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±0.237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6.02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AGC_107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4.5233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±0.282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11.90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AGC_113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10.58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3.0071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±0.325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31.82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AGC_116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7.43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4.3532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±0.158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32.34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AGC_118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3.1266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±0.270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13.82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AGC_120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3.3375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±0.378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24.93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AGC_126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5.75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4.3518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±0.210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25.02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AGC_128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6.15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4.3886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26.99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AGC_129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8.16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3.2958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±0.438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26.89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AGC_130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12.10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4.3641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±0.258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52.81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AGC_136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4.2026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±0.219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7.10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AGC_142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5.0572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±0.249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6.52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AGC_143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11.48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4.5131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±0.178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51.81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6.80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3.0622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±0.195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20.82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AGC_149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8.99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4.3868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±0.294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39.44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AGC_153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4.2241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±0.189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8.41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AGC_154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1.49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4.6272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±0.281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6.89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AGC_156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8.20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3.1074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±0.226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25.48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11.22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4.2600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±0.248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47.80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AGC_173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3.60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3.4512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±0.565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12.42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AGC_174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6.89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3.8686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±0.516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26.65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AGC_175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4.3262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±0.330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6.10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AGC_177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5.66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4.3376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±0.140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24.55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AGC_182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4.13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4.4276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18.29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AGC_183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7.85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2.9162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±0.174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22.89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AGC_186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11.70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4.4152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±0.209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51.66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AGC_188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2.34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4.5943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±0.331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10.75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AGC_190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5.01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4.3255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21.67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AGC_191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1.75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4.9585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±0.288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8.68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2.14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4.9879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10.67</w:t>
            </w:r>
          </w:p>
        </w:tc>
      </w:tr>
    </w:tbl>
    <w:p>
      <w:pPr>
        <w:pStyle w:val="Heading1"/>
      </w:pPr>
      <w:r>
        <w:rPr>
          <w:color w:val="111111"/>
        </w:rPr>
        <w:t>6. Arquitectura Cloud (Railway + Vercel/Cloudflare) y Diseño Swiss</w:t>
      </w:r>
    </w:p>
    <w:p>
      <w:r>
        <w:t>El sistema se estructuró bajo una arquitectura desacoplada lista para producción en la nube: (1) Backend API en FastAPI desplegable en Railway con inferencia en memoria (&lt;5 ms) y simulador agronómico 'What-If' en vivo, y (2) Frontend React + Vite desplegable en Vercel o Cloudflare Pages, diseñado bajo el sistema estético Swiss (retícula técnica de 1px, tipografía grotesca tabular, cartografía satelital/topográfica Esri libre de API Keys y adaptabilidad responsive completa para smartphones, tablets, laptops, monitores y proyectores de auditorio).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8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