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b/>
          <w:color w:val="00865A"/>
          <w:sz w:val="20"/>
        </w:rPr>
        <w:t>CONFIDENTIAL WORKING PLAN</w:t>
      </w:r>
    </w:p>
    <w:p>
      <w:pPr>
        <w:spacing w:after="120"/>
      </w:pPr>
      <w:r>
        <w:rPr>
          <w:b/>
          <w:color w:val="131A17"/>
          <w:sz w:val="54"/>
        </w:rPr>
        <w:t>Connex Business Plan</w:t>
      </w:r>
    </w:p>
    <w:p>
      <w:pPr>
        <w:spacing w:after="360"/>
      </w:pPr>
      <w:r>
        <w:rPr>
          <w:color w:val="636B67"/>
          <w:sz w:val="26"/>
        </w:rPr>
        <w:t>Africa-first communication, community safety, and education platform</w:t>
      </w:r>
    </w:p>
    <w:p>
      <w:pPr>
        <w:pStyle w:val="Heading1"/>
      </w:pPr>
      <w:r>
        <w:t>Executive summary</w:t>
      </w:r>
    </w:p>
    <w:p>
      <w:r>
        <w:t>Connex Digital (Pty) Ltd is building a mobile platform that combines real-time communication, community alerts, emergency-contact SOS, and free learner resources. Phase 1 is in alpha hardening: the core Expo/Convex product is implemented, while multi-device service validation, moderation, legal review, and public-store readiness remain outstanding.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4032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Phase 1 value</w:t>
            </w:r>
          </w:p>
        </w:tc>
        <w:tc>
          <w:tcPr>
            <w:tcW w:type="dxa" w:w="3600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Current state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Chat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Everyday communication and groups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Implemented; alpha QA required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Feed &amp; Alerts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 community information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Implemented; content/moderation depth required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Edu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Grades 10-12 papers, notes, tutors, help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Implemented; verified paper URLs need expansion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SOS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Trusted-contact emergency notification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Implemented; delivery must be tested on multiple devices</w:t>
            </w:r>
          </w:p>
        </w:tc>
      </w:tr>
    </w:tbl>
    <w:p>
      <w:pPr>
        <w:pStyle w:val="Heading1"/>
      </w:pPr>
      <w:r>
        <w:t>Problem and positioning</w:t>
      </w:r>
    </w:p>
    <w:p>
      <w:r>
        <w:t>Connex addresses fragmentation across messaging, local information, safety coordination, and learner resources. The launch strategy should prove one focused community use case at a time rather than claim continental scale before retention and trust are demonstrated.</w:t>
      </w:r>
    </w:p>
    <w:p>
      <w:pPr>
        <w:pStyle w:val="Heading1"/>
      </w:pPr>
      <w:r>
        <w:t>Go-to-market hypothesis</w:t>
      </w:r>
    </w:p>
    <w:p>
      <w:pPr>
        <w:pStyle w:val="ListBullet"/>
      </w:pPr>
      <w:r>
        <w:t>Begin with a controlled Heidelberg/Gauteng alpha using known testers and community partners.</w:t>
      </w:r>
    </w:p>
    <w:p>
      <w:pPr>
        <w:pStyle w:val="ListBullet"/>
      </w:pPr>
      <w:r>
        <w:t>Use Edu resources and practical community alerts as utility-led acquisition channels.</w:t>
      </w:r>
    </w:p>
    <w:p>
      <w:pPr>
        <w:pStyle w:val="ListBullet"/>
      </w:pPr>
      <w:r>
        <w:t>Measure activation, seven-day retention, successful conversations, useful alerts, paper opens, and SOS delivery reliability.</w:t>
      </w:r>
    </w:p>
    <w:p>
      <w:pPr>
        <w:pStyle w:val="ListBullet"/>
      </w:pPr>
      <w:r>
        <w:t>Expand only after privacy, moderation, support, abuse response, and service reliability meet documented thresholds.</w:t>
      </w:r>
    </w:p>
    <w:p>
      <w:pPr>
        <w:pStyle w:val="Heading1"/>
      </w:pPr>
      <w:r>
        <w:t>Business model</w:t>
      </w:r>
    </w:p>
    <w:p>
      <w:r>
        <w:t>Phase 1 remains free and focused on trust and retention. Pay, Clips, advertising, tutoring monetisation, and Logistics are planning options rather than committed revenue. Each requires separate validation; Pay additionally requires licensed partners and regulatory advice before handling money.</w:t>
      </w:r>
    </w:p>
    <w:p>
      <w:pPr>
        <w:pStyle w:val="Heading1"/>
      </w:pPr>
      <w:r>
        <w:t>Current operating priorities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4032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3600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Gate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Alpha reliability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Two-device end-to-end QA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No critical auth/chat/SOS failures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Safety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Moderation and incident process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Named owner and response playbook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Edu catalogue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Verified official paper links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No fabricated or broken sources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Legal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POPIA/privacy/terms review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Counsel-reviewed public documents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Growth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Small measured pilot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Retention evidence before paid acquisition</w:t>
            </w:r>
          </w:p>
        </w:tc>
      </w:tr>
    </w:tbl>
    <w:p>
      <w:pPr>
        <w:pStyle w:val="Heading1"/>
      </w:pPr>
      <w:r>
        <w:t>Funding approach</w:t>
      </w:r>
    </w:p>
    <w:p>
      <w:r>
        <w:t>The historic R500,000-R2,000,000 range remains a scenario, not a valuation or committed round. Before outreach, build a bottom-up 12-18 month budget tied to provider costs, devices, legal/compliance, moderation/support, and a narrowly defined pilot. Investor materials must distinguish implemented code, device-tested behavior, and future roadmap concepts.</w:t>
      </w:r>
    </w:p>
    <w:p>
      <w:pPr>
        <w:pStyle w:val="Heading1"/>
      </w:pPr>
      <w:r>
        <w:t>Risks</w:t>
      </w:r>
    </w:p>
    <w:p>
      <w:pPr>
        <w:pStyle w:val="ListBullet"/>
      </w:pPr>
      <w:r>
        <w:t>Safety-critical SOS behavior creates a higher duty of care and must never be marketed as emergency-service dispatch.</w:t>
      </w:r>
    </w:p>
    <w:p>
      <w:pPr>
        <w:pStyle w:val="ListBullet"/>
      </w:pPr>
      <w:r>
        <w:t>A broad super-app story can dilute focus; Phase 1 needs a measurable initial wedge.</w:t>
      </w:r>
    </w:p>
    <w:p>
      <w:pPr>
        <w:pStyle w:val="ListBullet"/>
      </w:pPr>
      <w:r>
        <w:t>Community content requires reporting, moderation, appeals, and abuse controls.</w:t>
      </w:r>
    </w:p>
    <w:p>
      <w:pPr>
        <w:pStyle w:val="ListBullet"/>
      </w:pPr>
      <w:r>
        <w:t>Education sources must remain verified, lawful, and maintainable.</w:t>
      </w:r>
    </w:p>
    <w:p>
      <w:pPr>
        <w:pStyle w:val="ListBullet"/>
      </w:pPr>
      <w:r>
        <w:t>Financial and market projections in earlier documents are stale and must not be presented as audited forecasts.</w:t>
      </w:r>
    </w:p>
    <w:p>
      <w:pPr>
        <w:pStyle w:val="Heading1"/>
      </w:pPr>
      <w:r>
        <w:t>Roadmap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Stage</w:t>
            </w:r>
          </w:p>
        </w:tc>
        <w:tc>
          <w:tcPr>
            <w:tcW w:type="dxa" w:w="7200"/>
            <w:shd w:fill="EAF6F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Objective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Alpha hardening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Security, service credentials, moderation, legal review, two-device QA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Closed pilot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Small invited community, analytics, support loop, retention measurement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Public Phase 1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Store release only after reliability and trust gates pass</w:t>
            </w:r>
          </w:p>
        </w:tc>
      </w:tr>
      <w:t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Later phases</w:t>
            </w:r>
          </w:p>
        </w:tc>
        <w:tc>
          <w:tcPr>
            <w:tcW w:type="dxa" w:w="7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Separate discovery, business case, architecture, and compliance approval</w:t>
            </w:r>
          </w:p>
        </w:tc>
      </w:tr>
    </w:tbl>
    <w:p>
      <w:r>
        <w:t>Planning note: market sizes, competitor metrics, projections, deadlines, and funding programme details require current primary-source verification before external use.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36B67"/>
        <w:sz w:val="16"/>
      </w:rPr>
      <w:t>Connex Digital (Pty) Ltd | Internal working document | July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36B67"/>
        <w:sz w:val="16"/>
      </w:rPr>
      <w:t>CONNEX BUSINESS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31A1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865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865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865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