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BACD8" w14:textId="2B51CB9E" w:rsidR="00C2164D" w:rsidRDefault="00C2164D">
      <w:r>
        <w:rPr>
          <w:noProof/>
        </w:rPr>
        <w:drawing>
          <wp:anchor distT="0" distB="0" distL="114300" distR="114300" simplePos="0" relativeHeight="251658240" behindDoc="0" locked="0" layoutInCell="1" allowOverlap="1" wp14:anchorId="594EE6A1" wp14:editId="6F005D66">
            <wp:simplePos x="0" y="0"/>
            <wp:positionH relativeFrom="column">
              <wp:posOffset>-177800</wp:posOffset>
            </wp:positionH>
            <wp:positionV relativeFrom="paragraph">
              <wp:posOffset>423</wp:posOffset>
            </wp:positionV>
            <wp:extent cx="5958777" cy="1885394"/>
            <wp:effectExtent l="0" t="0" r="4445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777" cy="18853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E55976" w14:textId="0738D795" w:rsidR="00C2164D" w:rsidRDefault="00C2164D" w:rsidP="00C2164D">
      <w:pPr>
        <w:jc w:val="center"/>
      </w:pPr>
    </w:p>
    <w:p w14:paraId="3EA5C5BB" w14:textId="77777777" w:rsidR="00C2164D" w:rsidRDefault="00C2164D" w:rsidP="00C2164D">
      <w:pPr>
        <w:jc w:val="center"/>
        <w:rPr>
          <w:rFonts w:ascii="Arial" w:hAnsi="Arial" w:cs="Arial"/>
          <w:sz w:val="32"/>
          <w:szCs w:val="32"/>
        </w:rPr>
      </w:pPr>
      <w:r w:rsidRPr="008C7AE0">
        <w:rPr>
          <w:rFonts w:ascii="Arial" w:hAnsi="Arial" w:cs="Arial"/>
          <w:sz w:val="32"/>
          <w:szCs w:val="32"/>
        </w:rPr>
        <w:t xml:space="preserve">Taller de </w:t>
      </w:r>
      <w:proofErr w:type="spellStart"/>
      <w:r w:rsidRPr="008C7AE0">
        <w:rPr>
          <w:rFonts w:ascii="Arial" w:hAnsi="Arial" w:cs="Arial"/>
          <w:sz w:val="32"/>
          <w:szCs w:val="32"/>
        </w:rPr>
        <w:t>Etica</w:t>
      </w:r>
      <w:proofErr w:type="spellEnd"/>
    </w:p>
    <w:p w14:paraId="789F63CF" w14:textId="28CB00A0" w:rsidR="00C2164D" w:rsidRDefault="00C2164D" w:rsidP="00C2164D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8C7AE0">
        <w:rPr>
          <w:rFonts w:ascii="Arial" w:hAnsi="Arial" w:cs="Arial"/>
          <w:sz w:val="32"/>
          <w:szCs w:val="32"/>
        </w:rPr>
        <w:t>Ing. Carla R. Palacios Durán</w:t>
      </w:r>
    </w:p>
    <w:p w14:paraId="15C4E3FA" w14:textId="77777777" w:rsidR="00C2164D" w:rsidRDefault="00C2164D" w:rsidP="00C2164D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Robles Picazo Grecia Genesis</w:t>
      </w:r>
    </w:p>
    <w:p w14:paraId="20A51101" w14:textId="6CA48E0A" w:rsidR="00C2164D" w:rsidRDefault="00C2164D" w:rsidP="00C2164D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proofErr w:type="spellStart"/>
      <w:r w:rsidRPr="00C2164D">
        <w:rPr>
          <w:rFonts w:ascii="Arial" w:hAnsi="Arial" w:cs="Arial"/>
          <w:sz w:val="32"/>
          <w:szCs w:val="32"/>
        </w:rPr>
        <w:t>Kristian</w:t>
      </w:r>
      <w:proofErr w:type="spellEnd"/>
      <w:r w:rsidRPr="00C2164D">
        <w:rPr>
          <w:rFonts w:ascii="Arial" w:hAnsi="Arial" w:cs="Arial"/>
          <w:sz w:val="32"/>
          <w:szCs w:val="32"/>
        </w:rPr>
        <w:t xml:space="preserve"> Omar Zavala Delgado</w:t>
      </w:r>
    </w:p>
    <w:p w14:paraId="529C612E" w14:textId="77777777" w:rsidR="00C2164D" w:rsidRDefault="00C2164D" w:rsidP="00C2164D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Numero de Control: </w:t>
      </w:r>
    </w:p>
    <w:p w14:paraId="10A78DB9" w14:textId="77777777" w:rsidR="00C2164D" w:rsidRDefault="00C2164D" w:rsidP="00C2164D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25130266</w:t>
      </w:r>
    </w:p>
    <w:p w14:paraId="3D6AB753" w14:textId="50E11CDE" w:rsidR="00C2164D" w:rsidRDefault="00C2164D" w:rsidP="00C2164D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C2164D">
        <w:rPr>
          <w:rFonts w:ascii="Arial" w:hAnsi="Arial" w:cs="Arial"/>
          <w:sz w:val="32"/>
          <w:szCs w:val="32"/>
        </w:rPr>
        <w:t>25130479</w:t>
      </w:r>
      <w:r>
        <w:rPr>
          <w:rFonts w:ascii="Arial" w:hAnsi="Arial" w:cs="Arial"/>
          <w:sz w:val="32"/>
          <w:szCs w:val="32"/>
        </w:rPr>
        <w:br/>
        <w:t>Semestre 1 Grupo 11G</w:t>
      </w:r>
    </w:p>
    <w:p w14:paraId="4207CC42" w14:textId="29EC58CB" w:rsidR="00C2164D" w:rsidRDefault="00C2164D" w:rsidP="00C2164D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Tarea </w:t>
      </w:r>
      <w:r>
        <w:rPr>
          <w:rFonts w:ascii="Arial" w:hAnsi="Arial" w:cs="Arial"/>
          <w:sz w:val="32"/>
          <w:szCs w:val="32"/>
        </w:rPr>
        <w:t xml:space="preserve">2 </w:t>
      </w:r>
    </w:p>
    <w:p w14:paraId="4033E967" w14:textId="19058CC7" w:rsidR="00C2164D" w:rsidRDefault="00C2164D" w:rsidP="00C2164D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14</w:t>
      </w:r>
      <w:r>
        <w:rPr>
          <w:rFonts w:ascii="Arial" w:hAnsi="Arial" w:cs="Arial"/>
          <w:sz w:val="32"/>
          <w:szCs w:val="32"/>
        </w:rPr>
        <w:t>-0</w:t>
      </w:r>
      <w:r>
        <w:rPr>
          <w:rFonts w:ascii="Arial" w:hAnsi="Arial" w:cs="Arial"/>
          <w:sz w:val="32"/>
          <w:szCs w:val="32"/>
        </w:rPr>
        <w:t>5</w:t>
      </w:r>
      <w:r>
        <w:rPr>
          <w:rFonts w:ascii="Arial" w:hAnsi="Arial" w:cs="Arial"/>
          <w:sz w:val="32"/>
          <w:szCs w:val="32"/>
        </w:rPr>
        <w:t>-2025</w:t>
      </w:r>
    </w:p>
    <w:p w14:paraId="1CD62471" w14:textId="44F226F8" w:rsidR="00EB1ED3" w:rsidRDefault="00EB1ED3">
      <w:pPr>
        <w:sectPr w:rsidR="00EB1ED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A3E081A" w14:textId="77777777" w:rsidR="00EB1ED3" w:rsidRPr="00EB1ED3" w:rsidRDefault="00EB1ED3" w:rsidP="00EB1ED3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r w:rsidRPr="00EB1ED3">
        <w:rPr>
          <w:rFonts w:ascii="Arial" w:hAnsi="Arial" w:cs="Arial"/>
          <w:color w:val="000000" w:themeColor="text1"/>
          <w:sz w:val="24"/>
          <w:szCs w:val="24"/>
        </w:rPr>
        <w:lastRenderedPageBreak/>
        <w:t>Informe Ético: Caso Ticketmaster y la Reventa y Clonación de Boletos</w:t>
      </w:r>
    </w:p>
    <w:p w14:paraId="38C9D165" w14:textId="77777777" w:rsidR="00EB1ED3" w:rsidRPr="00EB1ED3" w:rsidRDefault="00EB1ED3" w:rsidP="00EB1ED3">
      <w:pPr>
        <w:pStyle w:val="Ttulo2"/>
        <w:rPr>
          <w:rFonts w:ascii="Arial" w:hAnsi="Arial" w:cs="Arial"/>
          <w:color w:val="000000" w:themeColor="text1"/>
          <w:sz w:val="28"/>
          <w:szCs w:val="28"/>
        </w:rPr>
      </w:pPr>
      <w:r w:rsidRPr="00EB1ED3">
        <w:rPr>
          <w:rFonts w:ascii="Arial" w:hAnsi="Arial" w:cs="Arial"/>
          <w:color w:val="000000" w:themeColor="text1"/>
          <w:sz w:val="28"/>
          <w:szCs w:val="28"/>
        </w:rPr>
        <w:t>Descripción del caso</w:t>
      </w:r>
    </w:p>
    <w:p w14:paraId="3172E496" w14:textId="77777777" w:rsidR="00EB1ED3" w:rsidRPr="00EB1ED3" w:rsidRDefault="00EB1ED3" w:rsidP="00EB1ED3">
      <w:pPr>
        <w:rPr>
          <w:rFonts w:ascii="Arial" w:hAnsi="Arial" w:cs="Arial"/>
        </w:rPr>
      </w:pPr>
      <w:r w:rsidRPr="00EB1ED3">
        <w:rPr>
          <w:rFonts w:ascii="Arial" w:hAnsi="Arial" w:cs="Arial"/>
        </w:rPr>
        <w:t>Ticketmaster, una de las principales plataformas de venta de boletos para eventos masivos, ha enfrentado múltiples denuncias y controversias relacionadas con la reventa ilegal y la clonación de boletos digitales, afectando a miles de consumidores en México y otros países.</w:t>
      </w:r>
    </w:p>
    <w:p w14:paraId="1FB8209E" w14:textId="77777777" w:rsidR="00EB1ED3" w:rsidRPr="00EB1ED3" w:rsidRDefault="00EB1ED3" w:rsidP="00EB1ED3">
      <w:pPr>
        <w:rPr>
          <w:rFonts w:ascii="Arial" w:hAnsi="Arial" w:cs="Arial"/>
        </w:rPr>
      </w:pPr>
      <w:r w:rsidRPr="00EB1ED3">
        <w:rPr>
          <w:rFonts w:ascii="Arial" w:hAnsi="Arial" w:cs="Arial"/>
        </w:rPr>
        <w:t xml:space="preserve">En diciembre de 2022, durante conciertos muy concurridos como los de </w:t>
      </w:r>
      <w:proofErr w:type="spellStart"/>
      <w:r w:rsidRPr="00EB1ED3">
        <w:rPr>
          <w:rFonts w:ascii="Arial" w:hAnsi="Arial" w:cs="Arial"/>
        </w:rPr>
        <w:t>Daddy</w:t>
      </w:r>
      <w:proofErr w:type="spellEnd"/>
      <w:r w:rsidRPr="00EB1ED3">
        <w:rPr>
          <w:rFonts w:ascii="Arial" w:hAnsi="Arial" w:cs="Arial"/>
        </w:rPr>
        <w:t xml:space="preserve"> </w:t>
      </w:r>
      <w:proofErr w:type="spellStart"/>
      <w:r w:rsidRPr="00EB1ED3">
        <w:rPr>
          <w:rFonts w:ascii="Arial" w:hAnsi="Arial" w:cs="Arial"/>
        </w:rPr>
        <w:t>Yankee</w:t>
      </w:r>
      <w:proofErr w:type="spellEnd"/>
      <w:r w:rsidRPr="00EB1ED3">
        <w:rPr>
          <w:rFonts w:ascii="Arial" w:hAnsi="Arial" w:cs="Arial"/>
        </w:rPr>
        <w:t xml:space="preserve"> y </w:t>
      </w:r>
      <w:proofErr w:type="spellStart"/>
      <w:r w:rsidRPr="00EB1ED3">
        <w:rPr>
          <w:rFonts w:ascii="Arial" w:hAnsi="Arial" w:cs="Arial"/>
        </w:rPr>
        <w:t>Bad</w:t>
      </w:r>
      <w:proofErr w:type="spellEnd"/>
      <w:r w:rsidRPr="00EB1ED3">
        <w:rPr>
          <w:rFonts w:ascii="Arial" w:hAnsi="Arial" w:cs="Arial"/>
        </w:rPr>
        <w:t xml:space="preserve"> </w:t>
      </w:r>
      <w:proofErr w:type="spellStart"/>
      <w:r w:rsidRPr="00EB1ED3">
        <w:rPr>
          <w:rFonts w:ascii="Arial" w:hAnsi="Arial" w:cs="Arial"/>
        </w:rPr>
        <w:t>Bunny</w:t>
      </w:r>
      <w:proofErr w:type="spellEnd"/>
      <w:r w:rsidRPr="00EB1ED3">
        <w:rPr>
          <w:rFonts w:ascii="Arial" w:hAnsi="Arial" w:cs="Arial"/>
        </w:rPr>
        <w:t xml:space="preserve">, numerosos usuarios reportaron que sus boletos digitales fueron clonados o duplicados. Esto significa que el mismo boleto fue escaneado y utilizado por más de una persona para ingresar al evento, dejando a los compradores originales sin acceso. En el caso de </w:t>
      </w:r>
      <w:proofErr w:type="spellStart"/>
      <w:r w:rsidRPr="00EB1ED3">
        <w:rPr>
          <w:rFonts w:ascii="Arial" w:hAnsi="Arial" w:cs="Arial"/>
        </w:rPr>
        <w:t>Daddy</w:t>
      </w:r>
      <w:proofErr w:type="spellEnd"/>
      <w:r w:rsidRPr="00EB1ED3">
        <w:rPr>
          <w:rFonts w:ascii="Arial" w:hAnsi="Arial" w:cs="Arial"/>
        </w:rPr>
        <w:t xml:space="preserve"> </w:t>
      </w:r>
      <w:proofErr w:type="spellStart"/>
      <w:r w:rsidRPr="00EB1ED3">
        <w:rPr>
          <w:rFonts w:ascii="Arial" w:hAnsi="Arial" w:cs="Arial"/>
        </w:rPr>
        <w:t>Yankee</w:t>
      </w:r>
      <w:proofErr w:type="spellEnd"/>
      <w:r w:rsidRPr="00EB1ED3">
        <w:rPr>
          <w:rFonts w:ascii="Arial" w:hAnsi="Arial" w:cs="Arial"/>
        </w:rPr>
        <w:t>, por ejemplo, varios asistentes denunciaron que sus entradas fueron escaneadas minutos antes de que ellos llegaran al recinto, evidenciando una falla grave en la seguridad del sistema de Ticketmaster.</w:t>
      </w:r>
    </w:p>
    <w:p w14:paraId="75C803DE" w14:textId="77777777" w:rsidR="00EB1ED3" w:rsidRPr="00EB1ED3" w:rsidRDefault="00EB1ED3" w:rsidP="00EB1ED3">
      <w:pPr>
        <w:rPr>
          <w:rFonts w:ascii="Arial" w:hAnsi="Arial" w:cs="Arial"/>
        </w:rPr>
      </w:pPr>
      <w:r w:rsidRPr="00EB1ED3">
        <w:rPr>
          <w:rFonts w:ascii="Arial" w:hAnsi="Arial" w:cs="Arial"/>
        </w:rPr>
        <w:t xml:space="preserve">Ticketmaster explicó que esta clonación ocurre porque los boletos comprados en preventa son revendidos varias veces, compartidos por correo electrónico o impresos en lugares públicos, lo que facilita su duplicación. Además, la plataforma ha implementado medidas tecnológicas como </w:t>
      </w:r>
      <w:proofErr w:type="spellStart"/>
      <w:r w:rsidRPr="00EB1ED3">
        <w:rPr>
          <w:rFonts w:ascii="Arial" w:hAnsi="Arial" w:cs="Arial"/>
        </w:rPr>
        <w:t>SafeTix</w:t>
      </w:r>
      <w:proofErr w:type="spellEnd"/>
      <w:r w:rsidRPr="00EB1ED3">
        <w:rPr>
          <w:rFonts w:ascii="Arial" w:hAnsi="Arial" w:cs="Arial"/>
        </w:rPr>
        <w:t xml:space="preserve">, un boleto digital con código de barras dinámico que cambia cada 15 segundos para combatir la reventa y falsificación. Sin embargo, estas medidas no han sido suficientes para evitar los problemas, como se evidenció en los conciertos de </w:t>
      </w:r>
      <w:proofErr w:type="spellStart"/>
      <w:r w:rsidRPr="00EB1ED3">
        <w:rPr>
          <w:rFonts w:ascii="Arial" w:hAnsi="Arial" w:cs="Arial"/>
        </w:rPr>
        <w:t>Bad</w:t>
      </w:r>
      <w:proofErr w:type="spellEnd"/>
      <w:r w:rsidRPr="00EB1ED3">
        <w:rPr>
          <w:rFonts w:ascii="Arial" w:hAnsi="Arial" w:cs="Arial"/>
        </w:rPr>
        <w:t xml:space="preserve"> </w:t>
      </w:r>
      <w:proofErr w:type="spellStart"/>
      <w:r w:rsidRPr="00EB1ED3">
        <w:rPr>
          <w:rFonts w:ascii="Arial" w:hAnsi="Arial" w:cs="Arial"/>
        </w:rPr>
        <w:t>Bunny</w:t>
      </w:r>
      <w:proofErr w:type="spellEnd"/>
      <w:r w:rsidRPr="00EB1ED3">
        <w:rPr>
          <w:rFonts w:ascii="Arial" w:hAnsi="Arial" w:cs="Arial"/>
        </w:rPr>
        <w:t xml:space="preserve"> en el Estadio Azteca, donde la cantidad de boletos falsos causó un colapso en el sistema de lectura de entradas.</w:t>
      </w:r>
    </w:p>
    <w:p w14:paraId="15495DE0" w14:textId="77777777" w:rsidR="00EB1ED3" w:rsidRPr="00EB1ED3" w:rsidRDefault="00EB1ED3" w:rsidP="00EB1ED3">
      <w:pPr>
        <w:rPr>
          <w:rFonts w:ascii="Arial" w:hAnsi="Arial" w:cs="Arial"/>
        </w:rPr>
      </w:pPr>
      <w:r w:rsidRPr="00EB1ED3">
        <w:rPr>
          <w:rFonts w:ascii="Arial" w:hAnsi="Arial" w:cs="Arial"/>
        </w:rPr>
        <w:t>Por otro lado, Ticketmaster ha sido criticada por prácticas que afectan a los consumidores, como la venta exclusiva condicionada al uso de tarjetas específicas, comisiones elevadas (hasta 25%), cancelaciones de boletos por no imprimirlos a tiempo, y el uso de “precios dinámicos” que incrementan los costos según la demanda, lo que ha generado descontento y acciones legales. En México, la Procuraduría Federal del Consumidor (PROFECO) impulsó una acción colectiva contra Ticketmaster por cancelaciones y falta de reembolsos.</w:t>
      </w:r>
    </w:p>
    <w:p w14:paraId="3AA32887" w14:textId="77777777" w:rsidR="00EB1ED3" w:rsidRPr="00EB1ED3" w:rsidRDefault="00EB1ED3" w:rsidP="00EB1ED3">
      <w:pPr>
        <w:pStyle w:val="Ttulo2"/>
        <w:rPr>
          <w:rFonts w:ascii="Arial" w:hAnsi="Arial" w:cs="Arial"/>
          <w:color w:val="000000" w:themeColor="text1"/>
          <w:sz w:val="28"/>
          <w:szCs w:val="28"/>
        </w:rPr>
      </w:pPr>
      <w:r w:rsidRPr="00EB1ED3">
        <w:rPr>
          <w:rFonts w:ascii="Arial" w:hAnsi="Arial" w:cs="Arial"/>
          <w:color w:val="000000" w:themeColor="text1"/>
          <w:sz w:val="28"/>
          <w:szCs w:val="28"/>
        </w:rPr>
        <w:t>Implicaciones éticas</w:t>
      </w:r>
    </w:p>
    <w:p w14:paraId="205687D4" w14:textId="77777777" w:rsidR="00EB1ED3" w:rsidRPr="00EB1ED3" w:rsidRDefault="00EB1ED3" w:rsidP="00EB1ED3">
      <w:pPr>
        <w:numPr>
          <w:ilvl w:val="0"/>
          <w:numId w:val="3"/>
        </w:numPr>
        <w:rPr>
          <w:rFonts w:ascii="Arial" w:hAnsi="Arial" w:cs="Arial"/>
        </w:rPr>
      </w:pPr>
      <w:r w:rsidRPr="00EB1ED3">
        <w:rPr>
          <w:rFonts w:ascii="Arial" w:hAnsi="Arial" w:cs="Arial"/>
        </w:rPr>
        <w:t>Falta de transparencia y protección al consumidor: La clonación y reventa ilegal de boletos afecta directamente a los usuarios que compran sus entradas por canales oficiales, generando pérdidas económicas y frustración.</w:t>
      </w:r>
    </w:p>
    <w:p w14:paraId="32A5A01D" w14:textId="77777777" w:rsidR="00EB1ED3" w:rsidRPr="00EB1ED3" w:rsidRDefault="00EB1ED3" w:rsidP="00EB1ED3">
      <w:pPr>
        <w:numPr>
          <w:ilvl w:val="0"/>
          <w:numId w:val="3"/>
        </w:numPr>
        <w:rPr>
          <w:rFonts w:ascii="Arial" w:hAnsi="Arial" w:cs="Arial"/>
        </w:rPr>
      </w:pPr>
      <w:r w:rsidRPr="00EB1ED3">
        <w:rPr>
          <w:rFonts w:ascii="Arial" w:hAnsi="Arial" w:cs="Arial"/>
        </w:rPr>
        <w:t>Responsabilidad de la empresa: Aunque Ticketmaster ha implementado tecnologías para combatir la falsificación, la persistencia de estos problemas indica fallas en sus sistemas de seguridad y control.</w:t>
      </w:r>
    </w:p>
    <w:p w14:paraId="16FC590C" w14:textId="77777777" w:rsidR="00EB1ED3" w:rsidRPr="00EB1ED3" w:rsidRDefault="00EB1ED3" w:rsidP="00EB1ED3">
      <w:pPr>
        <w:numPr>
          <w:ilvl w:val="0"/>
          <w:numId w:val="3"/>
        </w:numPr>
        <w:rPr>
          <w:rFonts w:ascii="Arial" w:hAnsi="Arial" w:cs="Arial"/>
        </w:rPr>
      </w:pPr>
      <w:r w:rsidRPr="00EB1ED3">
        <w:rPr>
          <w:rFonts w:ascii="Arial" w:hAnsi="Arial" w:cs="Arial"/>
        </w:rPr>
        <w:lastRenderedPageBreak/>
        <w:t>Conflicto de intereses: La empresa ha sido acusada de permitir o no controlar adecuadamente la reventa y la especulación con boletos, lo que puede beneficiar a revendedores a costa del consumidor final.</w:t>
      </w:r>
    </w:p>
    <w:p w14:paraId="69F0D309" w14:textId="77777777" w:rsidR="00EB1ED3" w:rsidRPr="00EB1ED3" w:rsidRDefault="00EB1ED3" w:rsidP="00EB1ED3">
      <w:pPr>
        <w:numPr>
          <w:ilvl w:val="0"/>
          <w:numId w:val="3"/>
        </w:numPr>
        <w:rPr>
          <w:rFonts w:ascii="Arial" w:hAnsi="Arial" w:cs="Arial"/>
        </w:rPr>
      </w:pPr>
      <w:r w:rsidRPr="00EB1ED3">
        <w:rPr>
          <w:rFonts w:ascii="Arial" w:hAnsi="Arial" w:cs="Arial"/>
        </w:rPr>
        <w:t>Respuesta institucional: Ticketmaster llegó a un acuerdo con PROFECO para indemnizar a los afectados y ha negado participación en redes de reventa dentro de la compañía, pero la desconfianza persiste.</w:t>
      </w:r>
    </w:p>
    <w:p w14:paraId="56DCEA84" w14:textId="1285CEB9" w:rsidR="00EB1ED3" w:rsidRPr="00EB1ED3" w:rsidRDefault="00EB1ED3" w:rsidP="00EB1ED3">
      <w:pPr>
        <w:rPr>
          <w:rFonts w:ascii="Arial" w:hAnsi="Arial" w:cs="Arial"/>
        </w:rPr>
      </w:pPr>
      <w:r w:rsidRPr="00260A85">
        <w:rPr>
          <w:rFonts w:ascii="Arial" w:hAnsi="Arial" w:cs="Arial"/>
        </w:rPr>
        <w:t xml:space="preserve">La </w:t>
      </w:r>
      <w:r w:rsidRPr="00EB1ED3">
        <w:rPr>
          <w:rFonts w:ascii="Arial" w:hAnsi="Arial" w:cs="Arial"/>
        </w:rPr>
        <w:t>Relación con Ingeniería en Sistemas</w:t>
      </w:r>
    </w:p>
    <w:p w14:paraId="741DB985" w14:textId="3B5CA0E2" w:rsidR="00EB1ED3" w:rsidRPr="00EB1ED3" w:rsidRDefault="00EB1ED3" w:rsidP="00EB1ED3">
      <w:pPr>
        <w:rPr>
          <w:rFonts w:ascii="Arial" w:hAnsi="Arial" w:cs="Arial"/>
        </w:rPr>
      </w:pPr>
      <w:r w:rsidRPr="00EB1ED3">
        <w:rPr>
          <w:rFonts w:ascii="Arial" w:hAnsi="Arial" w:cs="Arial"/>
        </w:rPr>
        <w:t xml:space="preserve">Este caso está </w:t>
      </w:r>
      <w:proofErr w:type="spellStart"/>
      <w:r>
        <w:rPr>
          <w:rFonts w:ascii="Arial" w:hAnsi="Arial" w:cs="Arial"/>
        </w:rPr>
        <w:t>vicnulado</w:t>
      </w:r>
      <w:proofErr w:type="spellEnd"/>
      <w:r>
        <w:rPr>
          <w:rFonts w:ascii="Arial" w:hAnsi="Arial" w:cs="Arial"/>
        </w:rPr>
        <w:t xml:space="preserve"> directamente </w:t>
      </w:r>
      <w:r w:rsidRPr="00EB1ED3">
        <w:rPr>
          <w:rFonts w:ascii="Arial" w:hAnsi="Arial" w:cs="Arial"/>
        </w:rPr>
        <w:t>con la Ingeniería en Sistemas, ya que Ticketmaster opera mediante una plataforma digital que depende del desarrollo, implementación y mantenimiento de sistemas informáticos seguros y confiables para la venta y control de boletos.</w:t>
      </w:r>
    </w:p>
    <w:p w14:paraId="33630EEA" w14:textId="77777777" w:rsidR="00EB1ED3" w:rsidRPr="00EB1ED3" w:rsidRDefault="00EB1ED3" w:rsidP="00EB1ED3">
      <w:pPr>
        <w:rPr>
          <w:rFonts w:ascii="Arial" w:hAnsi="Arial" w:cs="Arial"/>
        </w:rPr>
      </w:pPr>
      <w:r w:rsidRPr="00EB1ED3">
        <w:rPr>
          <w:rFonts w:ascii="Arial" w:hAnsi="Arial" w:cs="Arial"/>
        </w:rPr>
        <w:t>Los problemas de clonación y reventa ilegal evidencian fallas en aspectos clave de la ingeniería en sistemas, como:</w:t>
      </w:r>
    </w:p>
    <w:p w14:paraId="7A3FFA8D" w14:textId="77777777" w:rsidR="00EB1ED3" w:rsidRPr="00EB1ED3" w:rsidRDefault="00EB1ED3" w:rsidP="00EB1ED3">
      <w:pPr>
        <w:numPr>
          <w:ilvl w:val="0"/>
          <w:numId w:val="4"/>
        </w:numPr>
        <w:rPr>
          <w:rFonts w:ascii="Arial" w:hAnsi="Arial" w:cs="Arial"/>
        </w:rPr>
      </w:pPr>
      <w:r w:rsidRPr="00EB1ED3">
        <w:rPr>
          <w:rFonts w:ascii="Arial" w:hAnsi="Arial" w:cs="Arial"/>
        </w:rPr>
        <w:t>Seguridad informática: La clonación de boletos implica vulnerabilidades en la autenticación y validación de entradas digitales, que deben ser diseñadas para evitar duplicaciones y fraudes.</w:t>
      </w:r>
    </w:p>
    <w:p w14:paraId="037BE15F" w14:textId="77777777" w:rsidR="00EB1ED3" w:rsidRPr="00EB1ED3" w:rsidRDefault="00EB1ED3" w:rsidP="00EB1ED3">
      <w:pPr>
        <w:numPr>
          <w:ilvl w:val="0"/>
          <w:numId w:val="4"/>
        </w:numPr>
        <w:rPr>
          <w:rFonts w:ascii="Arial" w:hAnsi="Arial" w:cs="Arial"/>
        </w:rPr>
      </w:pPr>
      <w:r w:rsidRPr="00EB1ED3">
        <w:rPr>
          <w:rFonts w:ascii="Arial" w:hAnsi="Arial" w:cs="Arial"/>
        </w:rPr>
        <w:t>Diseño de sistemas confiables: Es responsabilidad de los ingenieros en sistemas crear plataformas que garanticen la integridad de los datos y la experiencia del usuario, minimizando riesgos técnicos que afecten a los consumidores.</w:t>
      </w:r>
    </w:p>
    <w:p w14:paraId="4281AD96" w14:textId="77777777" w:rsidR="00EB1ED3" w:rsidRPr="00EB1ED3" w:rsidRDefault="00EB1ED3" w:rsidP="00EB1ED3">
      <w:pPr>
        <w:numPr>
          <w:ilvl w:val="0"/>
          <w:numId w:val="4"/>
        </w:numPr>
        <w:rPr>
          <w:rFonts w:ascii="Arial" w:hAnsi="Arial" w:cs="Arial"/>
        </w:rPr>
      </w:pPr>
      <w:r w:rsidRPr="00EB1ED3">
        <w:rPr>
          <w:rFonts w:ascii="Arial" w:hAnsi="Arial" w:cs="Arial"/>
        </w:rPr>
        <w:t>Ética profesional: Los ingenieros deben actuar con responsabilidad y ética, asegurando que los sistemas no faciliten prácticas fraudulentas o abusivas, y promoviendo la transparencia y protección al usuario.</w:t>
      </w:r>
    </w:p>
    <w:p w14:paraId="03ED368D" w14:textId="77777777" w:rsidR="00EB1ED3" w:rsidRPr="00EB1ED3" w:rsidRDefault="00EB1ED3" w:rsidP="00EB1ED3">
      <w:pPr>
        <w:numPr>
          <w:ilvl w:val="0"/>
          <w:numId w:val="4"/>
        </w:numPr>
        <w:rPr>
          <w:rFonts w:ascii="Arial" w:hAnsi="Arial" w:cs="Arial"/>
        </w:rPr>
      </w:pPr>
      <w:r w:rsidRPr="00EB1ED3">
        <w:rPr>
          <w:rFonts w:ascii="Arial" w:hAnsi="Arial" w:cs="Arial"/>
        </w:rPr>
        <w:t xml:space="preserve">Innovación tecnológica: Implementar soluciones como </w:t>
      </w:r>
      <w:proofErr w:type="spellStart"/>
      <w:r w:rsidRPr="00EB1ED3">
        <w:rPr>
          <w:rFonts w:ascii="Arial" w:hAnsi="Arial" w:cs="Arial"/>
        </w:rPr>
        <w:t>SafeTix</w:t>
      </w:r>
      <w:proofErr w:type="spellEnd"/>
      <w:r w:rsidRPr="00EB1ED3">
        <w:rPr>
          <w:rFonts w:ascii="Arial" w:hAnsi="Arial" w:cs="Arial"/>
        </w:rPr>
        <w:t xml:space="preserve"> (boletos con códigos dinámicos) es un ejemplo de aplicar ingeniería para resolver problemas reales, aunque debe ser complementado con mejoras continuas.</w:t>
      </w:r>
    </w:p>
    <w:p w14:paraId="7CC4C629" w14:textId="77777777" w:rsidR="00EB1ED3" w:rsidRPr="00C2164D" w:rsidRDefault="00EB1ED3" w:rsidP="00C2164D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r w:rsidRPr="00C2164D">
        <w:rPr>
          <w:rFonts w:ascii="Arial" w:hAnsi="Arial" w:cs="Arial"/>
          <w:color w:val="000000" w:themeColor="text1"/>
          <w:sz w:val="24"/>
          <w:szCs w:val="24"/>
        </w:rPr>
        <w:t>Conclusión</w:t>
      </w:r>
    </w:p>
    <w:p w14:paraId="5462A2EE" w14:textId="77777777" w:rsidR="00C2164D" w:rsidRPr="00C2164D" w:rsidRDefault="00C2164D" w:rsidP="00C2164D">
      <w:pPr>
        <w:rPr>
          <w:rFonts w:ascii="Arial" w:hAnsi="Arial" w:cs="Arial"/>
        </w:rPr>
      </w:pPr>
      <w:r w:rsidRPr="00C2164D">
        <w:rPr>
          <w:rFonts w:ascii="Arial" w:hAnsi="Arial" w:cs="Arial"/>
        </w:rPr>
        <w:t>El caso de Ticketmaster con la reventa y clonación de boletos muestra un problema serio tanto en lo técnico como en lo ético. La falta de buenos controles y el fraude constante hacen que la gente pierda confianza y se afecte el mercado de los espectáculos.</w:t>
      </w:r>
    </w:p>
    <w:p w14:paraId="671169FD" w14:textId="4EE661A2" w:rsidR="00C2164D" w:rsidRPr="00C2164D" w:rsidRDefault="00C2164D" w:rsidP="00C2164D">
      <w:pPr>
        <w:rPr>
          <w:rFonts w:ascii="Arial" w:hAnsi="Arial" w:cs="Arial"/>
        </w:rPr>
      </w:pPr>
      <w:r w:rsidRPr="00C2164D">
        <w:rPr>
          <w:rFonts w:ascii="Arial" w:hAnsi="Arial" w:cs="Arial"/>
        </w:rPr>
        <w:t xml:space="preserve">Desde nuestra carrera en </w:t>
      </w:r>
      <w:r>
        <w:rPr>
          <w:rFonts w:ascii="Arial" w:hAnsi="Arial" w:cs="Arial"/>
        </w:rPr>
        <w:t>i</w:t>
      </w:r>
      <w:r w:rsidRPr="00C2164D">
        <w:rPr>
          <w:rFonts w:ascii="Arial" w:hAnsi="Arial" w:cs="Arial"/>
        </w:rPr>
        <w:t xml:space="preserve">ngeniería en </w:t>
      </w:r>
      <w:r>
        <w:rPr>
          <w:rFonts w:ascii="Arial" w:hAnsi="Arial" w:cs="Arial"/>
        </w:rPr>
        <w:t>s</w:t>
      </w:r>
      <w:r w:rsidRPr="00C2164D">
        <w:rPr>
          <w:rFonts w:ascii="Arial" w:hAnsi="Arial" w:cs="Arial"/>
        </w:rPr>
        <w:t>istemas, creemos que las empresas tienen la obligación de crear sistemas seguros y confiables, que protejan al usuario y eviten este tipo de prácticas. La tecnología debe desarrollarse con ética, pensando en el bienestar de las personas y en que todos tengan un acceso justo.</w:t>
      </w:r>
    </w:p>
    <w:p w14:paraId="221BED79" w14:textId="604253B9" w:rsidR="00C2164D" w:rsidRPr="00C2164D" w:rsidRDefault="00C2164D" w:rsidP="00C2164D">
      <w:pPr>
        <w:rPr>
          <w:rFonts w:ascii="Arial" w:hAnsi="Arial" w:cs="Arial"/>
        </w:rPr>
      </w:pPr>
      <w:r w:rsidRPr="00C2164D">
        <w:rPr>
          <w:rFonts w:ascii="Arial" w:hAnsi="Arial" w:cs="Arial"/>
        </w:rPr>
        <w:lastRenderedPageBreak/>
        <w:t>Este caso también deja claro que no todo debe girar en torno al dinero. Las empresas deben actuar con responsabilidad, ser honestas y buscar soluciones reales a los problemas</w:t>
      </w:r>
      <w:r>
        <w:rPr>
          <w:rFonts w:ascii="Arial" w:hAnsi="Arial" w:cs="Arial"/>
        </w:rPr>
        <w:t>.</w:t>
      </w:r>
    </w:p>
    <w:p w14:paraId="5DB9BE20" w14:textId="3917632F" w:rsidR="007C69D4" w:rsidRPr="00EB1ED3" w:rsidRDefault="007C69D4">
      <w:pPr>
        <w:rPr>
          <w:rFonts w:ascii="Arial" w:hAnsi="Arial" w:cs="Arial"/>
        </w:rPr>
      </w:pPr>
    </w:p>
    <w:sectPr w:rsidR="007C69D4" w:rsidRPr="00EB1E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B63A0" w14:textId="77777777" w:rsidR="00EB1ED3" w:rsidRDefault="00EB1ED3" w:rsidP="00EB1ED3">
      <w:pPr>
        <w:spacing w:after="0" w:line="240" w:lineRule="auto"/>
      </w:pPr>
      <w:r>
        <w:separator/>
      </w:r>
    </w:p>
  </w:endnote>
  <w:endnote w:type="continuationSeparator" w:id="0">
    <w:p w14:paraId="786353DC" w14:textId="77777777" w:rsidR="00EB1ED3" w:rsidRDefault="00EB1ED3" w:rsidP="00E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12AEE" w14:textId="77777777" w:rsidR="00EB1ED3" w:rsidRDefault="00EB1ED3" w:rsidP="00EB1ED3">
      <w:pPr>
        <w:spacing w:after="0" w:line="240" w:lineRule="auto"/>
      </w:pPr>
      <w:r>
        <w:separator/>
      </w:r>
    </w:p>
  </w:footnote>
  <w:footnote w:type="continuationSeparator" w:id="0">
    <w:p w14:paraId="7F02F6F9" w14:textId="77777777" w:rsidR="00EB1ED3" w:rsidRDefault="00EB1ED3" w:rsidP="00EB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59E"/>
    <w:multiLevelType w:val="multilevel"/>
    <w:tmpl w:val="40C8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76B00"/>
    <w:multiLevelType w:val="multilevel"/>
    <w:tmpl w:val="5A90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8431F"/>
    <w:multiLevelType w:val="multilevel"/>
    <w:tmpl w:val="7C0C5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5E3878"/>
    <w:multiLevelType w:val="multilevel"/>
    <w:tmpl w:val="2FAA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490327">
    <w:abstractNumId w:val="3"/>
  </w:num>
  <w:num w:numId="2" w16cid:durableId="1534612042">
    <w:abstractNumId w:val="2"/>
  </w:num>
  <w:num w:numId="3" w16cid:durableId="327680526">
    <w:abstractNumId w:val="1"/>
  </w:num>
  <w:num w:numId="4" w16cid:durableId="983657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D3"/>
    <w:rsid w:val="00036B69"/>
    <w:rsid w:val="00260A85"/>
    <w:rsid w:val="00551586"/>
    <w:rsid w:val="00604EBF"/>
    <w:rsid w:val="007C69D4"/>
    <w:rsid w:val="00C2164D"/>
    <w:rsid w:val="00EB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D6DCCEC"/>
  <w15:chartTrackingRefBased/>
  <w15:docId w15:val="{0CE72F4C-F457-4F01-B76C-0346E823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1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1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1E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1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1E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1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1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1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1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1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B1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1E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1E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1E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1E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1E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1E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1E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1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1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1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1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1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1E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1E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1E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1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1E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1ED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B1ED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1ED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1ED3"/>
  </w:style>
  <w:style w:type="paragraph" w:styleId="Piedepgina">
    <w:name w:val="footer"/>
    <w:basedOn w:val="Normal"/>
    <w:link w:val="PiedepginaCar"/>
    <w:uiPriority w:val="99"/>
    <w:unhideWhenUsed/>
    <w:rsid w:val="00E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1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793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Picazo R</dc:creator>
  <cp:keywords/>
  <dc:description/>
  <cp:lastModifiedBy>Picazo R</cp:lastModifiedBy>
  <cp:revision>2</cp:revision>
  <dcterms:created xsi:type="dcterms:W3CDTF">2025-05-15T03:39:00Z</dcterms:created>
  <dcterms:modified xsi:type="dcterms:W3CDTF">2025-05-15T04:00:00Z</dcterms:modified>
</cp:coreProperties>
</file>