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both"/>
      </w:pPr>
      <w:r>
        <w:rPr>
          <w:rFonts w:ascii="Times New Roman" w:hAnsi="Times New Roman"/>
          <w:b/>
          <w:sz w:val="22"/>
        </w:rPr>
        <w:t>ПОЛИТИКА КОНФИДЕНЦИАЛЬНОСТИ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Настоящая Политика конфиденциальности (далее — «Политика») разработана QIDRA LLC (далее — «Компания», «QIDRA», «мы»), зарегистрированной в Sharjah Media City (Shams), ОАЭ, в соответствии с Федеральным законом № 45 от 2021 года «О защите персональных данных» (Federal Decree-Law No. 45 of 2021 on the Protection of Personal Data) и нормами международного права.</w:t>
        <w:br/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Компания предоставляет цифровую платформу, обеспечивающую взаимодействие между инвесторами и инициаторами инвестиционных проектов. QIDRA не принимает и не хранит денежные средства инвесторов, не является стороной инвестиционных контрактов и не оказывает финансовых или инвестиционных услуг, подпадающих под регулирование Central Bank UAE.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1. Термины и определения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1.1. «Пользователь» — физическое или юридическое лицо, использующее платформу QIDRA.</w:t>
        <w:br/>
        <w:t>1.2. «Персональные данные» — информация, позволяющая прямо или косвенно идентифицировать Пользователя.</w:t>
        <w:br/>
        <w:t>1.3. «Обработка данных» — любое действие с персональными данными, включая сбор, хранение, передачу, удаление.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2. Принципы обработки данных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2.1. Обработка осуществляется на законной, справедливой и прозрачной основе.</w:t>
        <w:br/>
        <w:t>2.2. Персональные данные обрабатываются строго в пределах целей, обозначенных в настоящей Политике.</w:t>
        <w:br/>
        <w:t>2.3. Обработка ограничена минимально необходимым объёмом данных.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3. Правовые основания обработки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3.1. Согласие субъекта данных.</w:t>
        <w:br/>
        <w:t>3.2. Необходимость для исполнения условий пользовательского соглашения.</w:t>
        <w:br/>
        <w:t>3.3. Соблюдение законодательства ОАЭ, включая требования AML/CFT и DNFBP.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4. Категории обрабатываемых данных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4.1. Имя, контактные данные (email, телефон), страна проживания.</w:t>
        <w:br/>
        <w:t>4.2. Документы KYC (паспорт, удостоверение личности и пр.).</w:t>
        <w:br/>
        <w:t>4.3. Техническая информация: IP-адрес, язык браузера, cookie.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5. Цели обработки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5.1. Регистрация пользователя.</w:t>
        <w:br/>
        <w:t>5.2. Обеспечение доступа к функциям платформы.</w:t>
        <w:br/>
        <w:t>5.3. Ведение внутреннего учёта и исполнения требований AML/KYC.</w:t>
        <w:br/>
        <w:t>5.4. Связь с пользователем и рассылка уведомлений.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6. Условия хранения и защита данных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6.1. Персональные данные хранятся в защищённых системах с ограниченным доступом.</w:t>
        <w:br/>
        <w:t>6.2. Срок хранения — не более 5 лет после окончания использования платформы, если иное не требуется законом.</w:t>
        <w:br/>
        <w:t>6.3. Применяются меры защиты в соответствии с ISO/IEC 27001.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7. Передача и раскрытие данных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7.1. Данные не передаются третьим лицам, за исключением случаев:</w:t>
        <w:br/>
        <w:t xml:space="preserve">  – если это требуется законом;</w:t>
        <w:br/>
        <w:t xml:space="preserve">  – по письменному запросу регулирующих органов;</w:t>
        <w:br/>
        <w:t xml:space="preserve">  – по письменному согласию Пользователя.</w:t>
        <w:br/>
        <w:t>7.2. В случае трансграничной передачи данных гарантируется уровень защиты, эквивалентный требованиям ОАЭ.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8. Права пользователя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8.1. Получение информации об обработке данных.</w:t>
        <w:br/>
        <w:t>8.2. Доступ к своим данным.</w:t>
        <w:br/>
        <w:t>8.3. Исправление, удаление и ограничение обработки.</w:t>
        <w:br/>
        <w:t>8.4. Обжалование действий Компании в компетентные органы ОАЭ.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9. Cookie-файлы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9.1. Платформа использует cookie-файлы для аутентификации, аналитики и хранения пользовательских настроек.</w:t>
        <w:br/>
        <w:t>9.2. Пользователь может управлять cookie через настройки браузера.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10. Изменения политики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10.1. Компания оставляет за собой право вносить изменения в настоящую Политику.</w:t>
        <w:br/>
        <w:t>10.2. Изменения вступают в силу с момента публикации на сайте.</w:t>
        <w:br/>
      </w:r>
    </w:p>
    <w:p>
      <w:pPr>
        <w:spacing w:after="120"/>
        <w:jc w:val="both"/>
      </w:pPr>
      <w:r>
        <w:rPr>
          <w:rFonts w:ascii="Times New Roman" w:hAnsi="Times New Roman"/>
          <w:b/>
          <w:sz w:val="22"/>
        </w:rPr>
        <w:t>11. Контактная информация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Для реализации прав и получения дополнительной информации:</w:t>
        <w:br/>
        <w:t>Email: legal@qidra.io</w:t>
        <w:br/>
        <w:t>Адрес: Sharjah Media City (Shams), Шарджа, ОАЭ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