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6e"/>
          <w:sz w:val="36"/>
          <w:szCs w:val="36"/>
        </w:rPr>
        <w:t xml:space="preserve">Safety in Urban Tourism</w:t>
      </w:r>
    </w:p>
    <w:p>
      <w:pPr>
        <w:spacing w:after="400"/>
        <w:jc w:val="center"/>
      </w:pPr>
      <w:r>
        <w:rPr>
          <w:rFonts w:ascii="Arial" w:cs="Arial" w:eastAsia="Arial" w:hAnsi="Arial"/>
          <w:color w:val="555555"/>
          <w:sz w:val="22"/>
          <w:szCs w:val="22"/>
        </w:rPr>
        <w:t xml:space="preserve">Data Section — NYPD Complaint Data Historic</w:t>
      </w:r>
    </w:p>
    <w:p>
      <w:pPr>
        <w:pStyle w:val="Heading1"/>
        <w:pBdr>
          <w:bottom w:val="single" w:color="1a3c6e" w:sz="6" w:space="4"/>
        </w:pBdr>
        <w:spacing w:after="160" w:before="320"/>
      </w:pPr>
      <w:r>
        <w:rPr>
          <w:rFonts w:ascii="Arial" w:cs="Arial" w:eastAsia="Arial" w:hAnsi="Arial"/>
          <w:b/>
          <w:bCs/>
          <w:color w:val="1a3c6e"/>
          <w:sz w:val="28"/>
          <w:szCs w:val="28"/>
        </w:rPr>
        <w:t xml:space="preserve">1. Domain</w:t>
      </w:r>
    </w:p>
    <w:p>
      <w:pPr>
        <w:spacing w:after="160"/>
        <w:jc w:val="both"/>
      </w:pPr>
      <w:r>
        <w:rPr>
          <w:rFonts w:ascii="Arial" w:cs="Arial" w:eastAsia="Arial" w:hAnsi="Arial"/>
          <w:sz w:val="22"/>
          <w:szCs w:val="22"/>
        </w:rPr>
        <w:t xml:space="preserve">This project investigates the relationship between urban tourism and crime in New York City. NYC is the most-visited city in the United States, attracting over 60 million tourists annually. We analyze whether crime patterns vary by proximity to major tourist attractions, which crime types are disproportionately present in tourist-heavy zones, and how this information can be used to generate safer walking routes for visitors.</w:t>
      </w:r>
    </w:p>
    <w:p>
      <w:pPr>
        <w:pStyle w:val="Heading1"/>
        <w:pBdr>
          <w:bottom w:val="single" w:color="1a3c6e" w:sz="6" w:space="4"/>
        </w:pBdr>
        <w:spacing w:after="160" w:before="320"/>
      </w:pPr>
      <w:r>
        <w:rPr>
          <w:rFonts w:ascii="Arial" w:cs="Arial" w:eastAsia="Arial" w:hAnsi="Arial"/>
          <w:b/>
          <w:bCs/>
          <w:color w:val="1a3c6e"/>
          <w:sz w:val="28"/>
          <w:szCs w:val="28"/>
        </w:rPr>
        <w:t xml:space="preserve">2. Data</w:t>
      </w:r>
    </w:p>
    <w:p>
      <w:pPr>
        <w:pStyle w:val="Heading2"/>
        <w:spacing w:after="100" w:before="240"/>
      </w:pPr>
      <w:r>
        <w:rPr>
          <w:rFonts w:ascii="Arial" w:cs="Arial" w:eastAsia="Arial" w:hAnsi="Arial"/>
          <w:b/>
          <w:bCs/>
          <w:color w:val="1a3c6e"/>
          <w:sz w:val="24"/>
          <w:szCs w:val="24"/>
        </w:rPr>
        <w:t xml:space="preserve">2.1 Source</w:t>
      </w:r>
    </w:p>
    <w:p>
      <w:pPr>
        <w:spacing w:after="160"/>
        <w:jc w:val="both"/>
      </w:pPr>
      <w:r>
        <w:rPr>
          <w:rFonts w:ascii="Arial" w:cs="Arial" w:eastAsia="Arial" w:hAnsi="Arial"/>
          <w:sz w:val="22"/>
          <w:szCs w:val="22"/>
        </w:rPr>
        <w:t xml:space="preserve">We use the </w:t>
      </w:r>
      <w:r>
        <w:rPr>
          <w:rFonts w:ascii="Arial" w:cs="Arial" w:eastAsia="Arial" w:hAnsi="Arial"/>
          <w:b/>
          <w:bCs/>
          <w:sz w:val="22"/>
          <w:szCs w:val="22"/>
        </w:rPr>
        <w:t xml:space="preserve">NYPD Complaint Data Historic</w:t>
      </w:r>
      <w:r>
        <w:rPr>
          <w:rFonts w:ascii="Arial" w:cs="Arial" w:eastAsia="Arial" w:hAnsi="Arial"/>
          <w:sz w:val="22"/>
          <w:szCs w:val="22"/>
        </w:rPr>
        <w:t xml:space="preserve"> dataset, published by the New York City Police Department and freely available on NYC Open Data (</w:t>
      </w:r>
      <w:r>
        <w:rPr>
          <w:rFonts w:ascii="Courier New" w:cs="Courier New" w:eastAsia="Courier New" w:hAnsi="Courier New"/>
          <w:color w:val="1a3c6e"/>
          <w:sz w:val="20"/>
          <w:szCs w:val="20"/>
        </w:rPr>
        <w:t xml:space="preserve">data.cityofnewyork.us/Public-Safety/NYPD-Complaint-Data-Historic/qgea-i56i</w:t>
      </w:r>
      <w:r>
        <w:rPr>
          <w:rFonts w:ascii="Arial" w:cs="Arial" w:eastAsia="Arial" w:hAnsi="Arial"/>
          <w:sz w:val="22"/>
          <w:szCs w:val="22"/>
        </w:rPr>
        <w:t xml:space="preserve">). The dataset contains every valid felony, misdemeanor, and violation crime complaint reported to the NYPD from 2006 through 2024.</w:t>
      </w:r>
    </w:p>
    <w:p>
      <w:pPr>
        <w:pStyle w:val="Heading2"/>
        <w:spacing w:after="100" w:before="240"/>
      </w:pPr>
      <w:r>
        <w:rPr>
          <w:rFonts w:ascii="Arial" w:cs="Arial" w:eastAsia="Arial" w:hAnsi="Arial"/>
          <w:b/>
          <w:bCs/>
          <w:color w:val="1a3c6e"/>
          <w:sz w:val="24"/>
          <w:szCs w:val="24"/>
        </w:rPr>
        <w:t xml:space="preserve">2.2 Size and Structure</w:t>
      </w:r>
    </w:p>
    <w:p>
      <w:pPr>
        <w:spacing w:after="160"/>
        <w:jc w:val="both"/>
      </w:pPr>
      <w:r>
        <w:rPr>
          <w:rFonts w:ascii="Arial" w:cs="Arial" w:eastAsia="Arial" w:hAnsi="Arial"/>
          <w:sz w:val="22"/>
          <w:szCs w:val="22"/>
        </w:rPr>
        <w:t xml:space="preserve">The full dataset contains </w:t>
      </w:r>
      <w:r>
        <w:rPr>
          <w:rFonts w:ascii="Arial" w:cs="Arial" w:eastAsia="Arial" w:hAnsi="Arial"/>
          <w:b/>
          <w:bCs/>
          <w:sz w:val="22"/>
          <w:szCs w:val="22"/>
        </w:rPr>
        <w:t xml:space="preserve">10,071,507 records</w:t>
      </w:r>
      <w:r>
        <w:rPr>
          <w:rFonts w:ascii="Arial" w:cs="Arial" w:eastAsia="Arial" w:hAnsi="Arial"/>
          <w:sz w:val="22"/>
          <w:szCs w:val="22"/>
        </w:rPr>
        <w:t xml:space="preserve">. Each record represents a single crime complaint and includes the following fields used in our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CMPLNT_FR_DT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the crime was reported</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CMPLNT_FR_TM</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Time the crime was reported (hour extracted)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Latitude / Longitude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coordinates of the incident</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ADDR_PCT_CD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NYPD precinct number (1–123)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OFNS_DESC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Offense description (71 unique categories)</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LAW_CAT_CD</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Crime severity: FELONY, MISDEMEANOR, or VIOLATION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PREM_TYP_DESC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Premise type (street, residence, transit, etc.)</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BORO_NM</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Borough (Manhattan, Brooklyn, Bronx, Queens, Staten Island)</w:t>
            </w:r>
          </w:p>
        </w:tc>
      </w:tr>
    </w:tbl>
    <w:p>
      <w:pPr>
        <w:spacing w:after="160"/>
      </w:pPr>
    </w:p>
    <w:p>
      <w:pPr>
        <w:pStyle w:val="Heading2"/>
        <w:spacing w:after="100" w:before="240"/>
      </w:pPr>
      <w:r>
        <w:rPr>
          <w:rFonts w:ascii="Arial" w:cs="Arial" w:eastAsia="Arial" w:hAnsi="Arial"/>
          <w:b/>
          <w:bCs/>
          <w:color w:val="1a3c6e"/>
          <w:sz w:val="24"/>
          <w:szCs w:val="24"/>
        </w:rPr>
        <w:t xml:space="preserve">2.3 Filtering and Cleaning</w:t>
      </w:r>
    </w:p>
    <w:p>
      <w:pPr>
        <w:spacing w:after="160"/>
        <w:jc w:val="both"/>
      </w:pPr>
      <w:r>
        <w:rPr>
          <w:rFonts w:ascii="Arial" w:cs="Arial" w:eastAsia="Arial" w:hAnsi="Arial"/>
          <w:sz w:val="22"/>
          <w:szCs w:val="22"/>
        </w:rPr>
        <w:t xml:space="preserve">We filtered the dataset to four years: </w:t>
      </w:r>
      <w:r>
        <w:rPr>
          <w:rFonts w:ascii="Arial" w:cs="Arial" w:eastAsia="Arial" w:hAnsi="Arial"/>
          <w:b/>
          <w:bCs/>
          <w:sz w:val="22"/>
          <w:szCs w:val="22"/>
        </w:rPr>
        <w:t xml:space="preserve">2018, 2019, 2022, and 2023</w:t>
      </w:r>
      <w:r>
        <w:rPr>
          <w:rFonts w:ascii="Arial" w:cs="Arial" w:eastAsia="Arial" w:hAnsi="Arial"/>
          <w:sz w:val="22"/>
          <w:szCs w:val="22"/>
        </w:rPr>
        <w:t xml:space="preserve">. We deliberately excluded 2020 and 2021 because the COVID-19 pandemic caused an extreme reduction in tourist activity in NYC, making those years unrepresentative of normal tourism-crime relationships. The table below summarizes all filtering steps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Records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Original dataset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10,071,507</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After year filter (2018–2019, 2022–2023)</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2,007,329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After removing null coordinates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2,007,313  (–14 null, –2 zero)</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After removing out-of-NYC coordinates</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2,007,313  (–2 records)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After removing missing precinct/offense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2,007,233  (–80 records)</w:t>
            </w:r>
          </w:p>
        </w:tc>
      </w:tr>
      <w:tr>
        <w:tc>
          <w:tcPr>
            <w:tcW w:type="dxa" w:w="4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sz w:val="20"/>
                <w:szCs w:val="20"/>
              </w:rPr>
              <w:t xml:space="preserve">Final clean dataset</w:t>
            </w:r>
          </w:p>
        </w:tc>
        <w:tc>
          <w:tcPr>
            <w:tcW w:type="dxa" w:w="5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2,007,233  (80.1% reduction from original)</w:t>
            </w:r>
          </w:p>
        </w:tc>
      </w:tr>
    </w:tbl>
    <w:p>
      <w:pPr>
        <w:spacing w:after="200"/>
      </w:pPr>
    </w:p>
    <w:p>
      <w:pPr>
        <w:spacing w:after="160"/>
        <w:jc w:val="both"/>
      </w:pPr>
      <w:r>
        <w:rPr>
          <w:rFonts w:ascii="Arial" w:cs="Arial" w:eastAsia="Arial" w:hAnsi="Arial"/>
          <w:sz w:val="22"/>
          <w:szCs w:val="22"/>
        </w:rPr>
        <w:t xml:space="preserve">The vast majority of records dropped (8,064,178) were outside our target year range. Only </w:t>
      </w:r>
      <w:r>
        <w:rPr>
          <w:rFonts w:ascii="Arial" w:cs="Arial" w:eastAsia="Arial" w:hAnsi="Arial"/>
          <w:b/>
          <w:bCs/>
          <w:sz w:val="22"/>
          <w:szCs w:val="22"/>
        </w:rPr>
        <w:t xml:space="preserve">96 records total</w:t>
      </w:r>
      <w:r>
        <w:rPr>
          <w:rFonts w:ascii="Arial" w:cs="Arial" w:eastAsia="Arial" w:hAnsi="Arial"/>
          <w:sz w:val="22"/>
          <w:szCs w:val="22"/>
        </w:rPr>
        <w:t xml:space="preserve"> were removed for data quality reasons — representing 0.005% of the filtered dataset — indicating that the NYPD data is exceptionally clean with respect to coordinates and key fields.</w:t>
      </w:r>
    </w:p>
    <w:p>
      <w:pPr>
        <w:pStyle w:val="Heading2"/>
        <w:spacing w:after="100" w:before="240"/>
      </w:pPr>
      <w:r>
        <w:rPr>
          <w:rFonts w:ascii="Arial" w:cs="Arial" w:eastAsia="Arial" w:hAnsi="Arial"/>
          <w:b/>
          <w:bCs/>
          <w:color w:val="1a3c6e"/>
          <w:sz w:val="24"/>
          <w:szCs w:val="24"/>
        </w:rPr>
        <w:t xml:space="preserve">2.4 Year Distribution</w:t>
      </w:r>
    </w:p>
    <w:p>
      <w:pPr>
        <w:spacing w:after="160"/>
        <w:jc w:val="both"/>
      </w:pPr>
      <w:r>
        <w:rPr>
          <w:rFonts w:ascii="Arial" w:cs="Arial" w:eastAsia="Arial" w:hAnsi="Arial"/>
          <w:sz w:val="22"/>
          <w:szCs w:val="22"/>
        </w:rPr>
        <w:t xml:space="preserve">The four years in our cleaned dataset are well-balanced:</w:t>
      </w:r>
    </w:p>
    <w:p>
      <w:pPr>
        <w:pStyle w:val="ListParagraph"/>
        <w:numPr>
          <w:ilvl w:val="0"/>
          <w:numId w:val="2"/>
        </w:numPr>
        <w:spacing w:after="80"/>
      </w:pPr>
      <w:r>
        <w:rPr>
          <w:rFonts w:ascii="Arial" w:cs="Arial" w:eastAsia="Arial" w:hAnsi="Arial"/>
          <w:sz w:val="22"/>
          <w:szCs w:val="22"/>
        </w:rPr>
        <w:t xml:space="preserve">2018: 462,931 complaints</w:t>
      </w:r>
    </w:p>
    <w:p>
      <w:pPr>
        <w:pStyle w:val="ListParagraph"/>
        <w:numPr>
          <w:ilvl w:val="0"/>
          <w:numId w:val="2"/>
        </w:numPr>
        <w:spacing w:after="80"/>
      </w:pPr>
      <w:r>
        <w:rPr>
          <w:rFonts w:ascii="Arial" w:cs="Arial" w:eastAsia="Arial" w:hAnsi="Arial"/>
          <w:sz w:val="22"/>
          <w:szCs w:val="22"/>
        </w:rPr>
        <w:t xml:space="preserve">2019: 459,608 complaints</w:t>
      </w:r>
    </w:p>
    <w:p>
      <w:pPr>
        <w:pStyle w:val="ListParagraph"/>
        <w:numPr>
          <w:ilvl w:val="0"/>
          <w:numId w:val="2"/>
        </w:numPr>
        <w:spacing w:after="80"/>
      </w:pPr>
      <w:r>
        <w:rPr>
          <w:rFonts w:ascii="Arial" w:cs="Arial" w:eastAsia="Arial" w:hAnsi="Arial"/>
          <w:sz w:val="22"/>
          <w:szCs w:val="22"/>
        </w:rPr>
        <w:t xml:space="preserve">2022: 531,322 complaints</w:t>
      </w:r>
    </w:p>
    <w:p>
      <w:pPr>
        <w:pStyle w:val="ListParagraph"/>
        <w:numPr>
          <w:ilvl w:val="0"/>
          <w:numId w:val="2"/>
        </w:numPr>
        <w:spacing w:after="80"/>
      </w:pPr>
      <w:r>
        <w:rPr>
          <w:rFonts w:ascii="Arial" w:cs="Arial" w:eastAsia="Arial" w:hAnsi="Arial"/>
          <w:sz w:val="22"/>
          <w:szCs w:val="22"/>
        </w:rPr>
        <w:t xml:space="preserve">2023: 553,468 complaints</w:t>
      </w:r>
    </w:p>
    <w:p>
      <w:pPr>
        <w:spacing w:after="160"/>
        <w:jc w:val="both"/>
      </w:pPr>
      <w:r>
        <w:rPr>
          <w:rFonts w:ascii="Arial" w:cs="Arial" w:eastAsia="Arial" w:hAnsi="Arial"/>
          <w:sz w:val="22"/>
          <w:szCs w:val="22"/>
        </w:rPr>
        <w:t xml:space="preserve">The slight increase in 2022–2023 relative to 2018–2019 reflects a post-COVID rebound in both urban activity and crime reporting.</w:t>
      </w:r>
    </w:p>
    <w:p>
      <w:pPr>
        <w:pStyle w:val="Heading2"/>
        <w:spacing w:after="100" w:before="240"/>
      </w:pPr>
      <w:r>
        <w:rPr>
          <w:rFonts w:ascii="Arial" w:cs="Arial" w:eastAsia="Arial" w:hAnsi="Arial"/>
          <w:b/>
          <w:bCs/>
          <w:color w:val="1a3c6e"/>
          <w:sz w:val="24"/>
          <w:szCs w:val="24"/>
        </w:rPr>
        <w:t xml:space="preserve">2.5 Crime Category Breakdown</w:t>
      </w:r>
    </w:p>
    <w:p>
      <w:pPr>
        <w:spacing w:after="160"/>
        <w:jc w:val="both"/>
      </w:pPr>
      <w:r>
        <w:rPr>
          <w:rFonts w:ascii="Arial" w:cs="Arial" w:eastAsia="Arial" w:hAnsi="Arial"/>
          <w:sz w:val="22"/>
          <w:szCs w:val="22"/>
        </w:rPr>
        <w:t xml:space="preserve">Across all 2,007,233 clean records:</w:t>
      </w:r>
    </w:p>
    <w:p>
      <w:pPr>
        <w:pStyle w:val="ListParagraph"/>
        <w:numPr>
          <w:ilvl w:val="0"/>
          <w:numId w:val="2"/>
        </w:numPr>
        <w:spacing w:after="80"/>
      </w:pPr>
      <w:r>
        <w:rPr>
          <w:rFonts w:ascii="Arial" w:cs="Arial" w:eastAsia="Arial" w:hAnsi="Arial"/>
          <w:sz w:val="22"/>
          <w:szCs w:val="22"/>
        </w:rPr>
        <w:t xml:space="preserve">Misdemeanor: 1,046,609 (52.1%)</w:t>
      </w:r>
    </w:p>
    <w:p>
      <w:pPr>
        <w:pStyle w:val="ListParagraph"/>
        <w:numPr>
          <w:ilvl w:val="0"/>
          <w:numId w:val="2"/>
        </w:numPr>
        <w:spacing w:after="80"/>
      </w:pPr>
      <w:r>
        <w:rPr>
          <w:rFonts w:ascii="Arial" w:cs="Arial" w:eastAsia="Arial" w:hAnsi="Arial"/>
          <w:sz w:val="22"/>
          <w:szCs w:val="22"/>
        </w:rPr>
        <w:t xml:space="preserve">Felony: 647,171 (32.2%)</w:t>
      </w:r>
    </w:p>
    <w:p>
      <w:pPr>
        <w:pStyle w:val="ListParagraph"/>
        <w:numPr>
          <w:ilvl w:val="0"/>
          <w:numId w:val="2"/>
        </w:numPr>
        <w:spacing w:after="80"/>
      </w:pPr>
      <w:r>
        <w:rPr>
          <w:rFonts w:ascii="Arial" w:cs="Arial" w:eastAsia="Arial" w:hAnsi="Arial"/>
          <w:sz w:val="22"/>
          <w:szCs w:val="22"/>
        </w:rPr>
        <w:t xml:space="preserve">Violation: 313,453 (15.6%)</w:t>
      </w:r>
    </w:p>
    <w:p>
      <w:pPr>
        <w:pStyle w:val="Heading2"/>
        <w:spacing w:after="100" w:before="240"/>
      </w:pPr>
      <w:r>
        <w:rPr>
          <w:rFonts w:ascii="Arial" w:cs="Arial" w:eastAsia="Arial" w:hAnsi="Arial"/>
          <w:b/>
          <w:bCs/>
          <w:color w:val="1a3c6e"/>
          <w:sz w:val="24"/>
          <w:szCs w:val="24"/>
        </w:rPr>
        <w:t xml:space="preserve">2.6 Geographic Coverage</w:t>
      </w:r>
    </w:p>
    <w:p>
      <w:pPr>
        <w:spacing w:after="160"/>
        <w:jc w:val="both"/>
      </w:pPr>
      <w:r>
        <w:rPr>
          <w:rFonts w:ascii="Arial" w:cs="Arial" w:eastAsia="Arial" w:hAnsi="Arial"/>
          <w:sz w:val="22"/>
          <w:szCs w:val="22"/>
        </w:rPr>
        <w:t xml:space="preserve">The clean dataset covers </w:t>
      </w:r>
      <w:r>
        <w:rPr>
          <w:rFonts w:ascii="Arial" w:cs="Arial" w:eastAsia="Arial" w:hAnsi="Arial"/>
          <w:b/>
          <w:bCs/>
          <w:sz w:val="22"/>
          <w:szCs w:val="22"/>
        </w:rPr>
        <w:t xml:space="preserve">78 NYPD precincts</w:t>
      </w:r>
      <w:r>
        <w:rPr>
          <w:rFonts w:ascii="Arial" w:cs="Arial" w:eastAsia="Arial" w:hAnsi="Arial"/>
          <w:sz w:val="22"/>
          <w:szCs w:val="22"/>
        </w:rPr>
        <w:t xml:space="preserve"> across all five boroughs: Manhattan, Brooklyn, Bronx, Queens, and Staten Island. Each precinct is treated as the primary geographic unit for our clustering analysis (Q1).</w:t>
      </w:r>
    </w:p>
    <w:p>
      <w:pPr>
        <w:pStyle w:val="Heading2"/>
        <w:spacing w:after="100" w:before="240"/>
      </w:pPr>
      <w:r>
        <w:rPr>
          <w:rFonts w:ascii="Arial" w:cs="Arial" w:eastAsia="Arial" w:hAnsi="Arial"/>
          <w:b/>
          <w:bCs/>
          <w:color w:val="1a3c6e"/>
          <w:sz w:val="24"/>
          <w:szCs w:val="24"/>
        </w:rPr>
        <w:t xml:space="preserve">2.7 Known Biases and Limitations</w:t>
      </w:r>
    </w:p>
    <w:p>
      <w:pPr>
        <w:spacing w:after="160"/>
        <w:jc w:val="both"/>
      </w:pPr>
      <w:r>
        <w:rPr>
          <w:rFonts w:ascii="Arial" w:cs="Arial" w:eastAsia="Arial" w:hAnsi="Arial"/>
          <w:b/>
          <w:bCs/>
          <w:sz w:val="22"/>
          <w:szCs w:val="22"/>
        </w:rPr>
        <w:t xml:space="preserve">Reporting bias near tourist zones: </w:t>
      </w:r>
      <w:r>
        <w:rPr>
          <w:rFonts w:ascii="Arial" w:cs="Arial" w:eastAsia="Arial" w:hAnsi="Arial"/>
          <w:sz w:val="22"/>
          <w:szCs w:val="22"/>
        </w:rPr>
        <w:t xml:space="preserve">Areas with high tourist foot traffic also tend to have higher police presence. This may inflate recorded crime near attractions — not because more crime occurs there, but because more of it is observed and reported. We acknowledge this limitation when interpreting Q2 results.</w:t>
      </w:r>
    </w:p>
    <w:p>
      <w:pPr>
        <w:spacing w:after="160"/>
        <w:jc w:val="both"/>
      </w:pPr>
      <w:r>
        <w:rPr>
          <w:rFonts w:ascii="Arial" w:cs="Arial" w:eastAsia="Arial" w:hAnsi="Arial"/>
          <w:b/>
          <w:bCs/>
          <w:sz w:val="22"/>
          <w:szCs w:val="22"/>
        </w:rPr>
        <w:t xml:space="preserve">Precinct-level policing variation: </w:t>
      </w:r>
      <w:r>
        <w:rPr>
          <w:rFonts w:ascii="Arial" w:cs="Arial" w:eastAsia="Arial" w:hAnsi="Arial"/>
          <w:sz w:val="22"/>
          <w:szCs w:val="22"/>
        </w:rPr>
        <w:t xml:space="preserve">Different precincts have different staffing levels and policing strategies, which affects complaint volumes independently of underlying crime rates. We normalize by area (crimes per km²) to partially mitigate this.</w:t>
      </w:r>
    </w:p>
    <w:p>
      <w:pPr>
        <w:spacing w:after="160"/>
        <w:jc w:val="both"/>
      </w:pPr>
      <w:r>
        <w:rPr>
          <w:rFonts w:ascii="Arial" w:cs="Arial" w:eastAsia="Arial" w:hAnsi="Arial"/>
          <w:b/>
          <w:bCs/>
          <w:sz w:val="22"/>
          <w:szCs w:val="22"/>
        </w:rPr>
        <w:t xml:space="preserve">No tourist volume data: </w:t>
      </w:r>
      <w:r>
        <w:rPr>
          <w:rFonts w:ascii="Arial" w:cs="Arial" w:eastAsia="Arial" w:hAnsi="Arial"/>
          <w:sz w:val="22"/>
          <w:szCs w:val="22"/>
        </w:rPr>
        <w:t xml:space="preserve">We do not have data on actual tourist counts at each location. Our definition of 'tourist zone' is based on proximity to known major attractions, not on measured visitor numbers.</w:t>
      </w:r>
    </w:p>
    <w:p>
      <w:pPr>
        <w:spacing w:after="160"/>
        <w:jc w:val="both"/>
      </w:pPr>
      <w:r>
        <w:rPr>
          <w:rFonts w:ascii="Arial" w:cs="Arial" w:eastAsia="Arial" w:hAnsi="Arial"/>
          <w:b/>
          <w:bCs/>
          <w:sz w:val="22"/>
          <w:szCs w:val="22"/>
        </w:rPr>
        <w:t xml:space="preserve">Exclusion of COVID years: </w:t>
      </w:r>
      <w:r>
        <w:rPr>
          <w:rFonts w:ascii="Arial" w:cs="Arial" w:eastAsia="Arial" w:hAnsi="Arial"/>
          <w:sz w:val="22"/>
          <w:szCs w:val="22"/>
        </w:rPr>
        <w:t xml:space="preserve">By excluding 2020–2021, we lose two years of data. This is a deliberate methodological choice, not a data gap — we explicitly document it here as required.</w:t>
      </w:r>
    </w:p>
    <w:p>
      <w:pPr>
        <w:pStyle w:val="Heading2"/>
        <w:spacing w:after="100" w:before="240"/>
      </w:pPr>
      <w:r>
        <w:rPr>
          <w:rFonts w:ascii="Arial" w:cs="Arial" w:eastAsia="Arial" w:hAnsi="Arial"/>
          <w:b/>
          <w:bCs/>
          <w:color w:val="1a3c6e"/>
          <w:sz w:val="24"/>
          <w:szCs w:val="24"/>
        </w:rPr>
        <w:t xml:space="preserve">2.8 Additional Data Sources</w:t>
      </w:r>
    </w:p>
    <w:p>
      <w:pPr>
        <w:spacing w:after="160"/>
        <w:jc w:val="both"/>
      </w:pPr>
      <w:r>
        <w:rPr>
          <w:rFonts w:ascii="Arial" w:cs="Arial" w:eastAsia="Arial" w:hAnsi="Arial"/>
          <w:sz w:val="22"/>
          <w:szCs w:val="22"/>
        </w:rPr>
        <w:t xml:space="preserve">In addition to the NYPD dataset, we use two supplementary sources: (1) </w:t>
      </w:r>
      <w:r>
        <w:rPr>
          <w:rFonts w:ascii="Arial" w:cs="Arial" w:eastAsia="Arial" w:hAnsi="Arial"/>
          <w:b/>
          <w:bCs/>
          <w:sz w:val="22"/>
          <w:szCs w:val="22"/>
        </w:rPr>
        <w:t xml:space="preserve">NYC Police Precinct boundaries</w:t>
      </w:r>
      <w:r>
        <w:rPr>
          <w:rFonts w:ascii="Arial" w:cs="Arial" w:eastAsia="Arial" w:hAnsi="Arial"/>
          <w:sz w:val="22"/>
          <w:szCs w:val="22"/>
        </w:rPr>
        <w:t xml:space="preserve"> (GeoJSON, sourced from the ResidentMario/geoplot-data GitHub repository, originally from NYC Open Data), used to compute precinct areas in km² and to produce choropleth maps; and (2) a </w:t>
      </w:r>
      <w:r>
        <w:rPr>
          <w:rFonts w:ascii="Arial" w:cs="Arial" w:eastAsia="Arial" w:hAnsi="Arial"/>
          <w:b/>
          <w:bCs/>
          <w:sz w:val="22"/>
          <w:szCs w:val="22"/>
        </w:rPr>
        <w:t xml:space="preserve">hand-curated list of 10 major NYC tourist attractions</w:t>
      </w:r>
      <w:r>
        <w:rPr>
          <w:rFonts w:ascii="Arial" w:cs="Arial" w:eastAsia="Arial" w:hAnsi="Arial"/>
          <w:sz w:val="22"/>
          <w:szCs w:val="22"/>
        </w:rPr>
        <w:t xml:space="preserve"> with GPS coordinates verified manually on Google Maps, used as the basis for tourist zone definition in Q2 and routing in Q3.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a3c6e"/>
      <w:sz w:val="28"/>
      <w:szCs w:val="28"/>
    </w:rPr>
  </w:style>
  <w:style w:type="paragraph" w:styleId="Heading2">
    <w:name w:val="Heading 2"/>
    <w:basedOn w:val="Normal"/>
    <w:next w:val="Normal"/>
    <w:pPr>
      <w:spacing w:after="100" w:before="240"/>
      <w:outlineLvl w:val="1"/>
    </w:pPr>
    <w:rPr>
      <w:rFonts w:ascii="Arial" w:cs="Arial" w:eastAsia="Arial" w:hAnsi="Arial"/>
      <w:b/>
      <w:bCs/>
      <w:color w:val="1a3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2026-06-29T11:49:47.729Z</dcterms:created>
  <dcterms:modified xsi:type="dcterms:W3CDTF">2026-06-29T11:49:47.729Z</dcterms:modified>
</cp:coreProperties>
</file>

<file path=docProps/custom.xml><?xml version="1.0" encoding="utf-8"?>
<Properties xmlns="http://schemas.openxmlformats.org/officeDocument/2006/custom-properties" xmlns:vt="http://schemas.openxmlformats.org/officeDocument/2006/docPropsVTypes"/>
</file>