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t>
      </w:r>
    </w:p>
    <w:p w:rsidR="00000000" w:rsidDel="00000000" w:rsidP="00000000" w:rsidRDefault="00000000" w:rsidRPr="00000000" w14:paraId="00000001">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Kami ‘Concern’ / peduli dengan para senior yang sudah memutuskan untuk pension dari rutinitas kerja kantoran/ usaha ataupun hal lain. Kami percaya dan menghargai bahwa para senior memiliki e</w:t>
      </w:r>
      <w:r w:rsidDel="00000000" w:rsidR="00000000" w:rsidRPr="00000000">
        <w:rPr>
          <w:rFonts w:ascii="Times New Roman" w:cs="Times New Roman" w:eastAsia="Times New Roman" w:hAnsi="Times New Roman"/>
          <w:color w:val="000000"/>
          <w:sz w:val="24"/>
          <w:szCs w:val="24"/>
          <w:rtl w:val="0"/>
        </w:rPr>
        <w:t xml:space="preserve">nergi, kesenangan/ hobby yang bergairah, agar dapat mempertahankan daya ingatnya sehingga terhindar dari proses degeneratif.</w:t>
      </w:r>
    </w:p>
    <w:p w:rsidR="00000000" w:rsidDel="00000000" w:rsidP="00000000" w:rsidRDefault="00000000" w:rsidRPr="00000000" w14:paraId="00000002">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Kami percaya bahwa tingkat kebahagian dan kualitas hidup para senior terletak pada energi yang dimiliki pada diri mereka sendiri, dimana bila energi tersebut terus meningkat akan memberikan kenyaman dan kesejahteraan hidupnya.</w:t>
      </w:r>
    </w:p>
    <w:p w:rsidR="00000000" w:rsidDel="00000000" w:rsidP="00000000" w:rsidRDefault="00000000" w:rsidRPr="00000000" w14:paraId="00000003">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Kami “Rumah Bahagia 84” akan seiring dengan para senior dan memberikan dukungan agar mereka dapat tetap berenergi dan mencapai taraf kehidupan yang bahagia.</w:t>
      </w:r>
    </w:p>
    <w:p w:rsidR="00000000" w:rsidDel="00000000" w:rsidP="00000000" w:rsidRDefault="00000000" w:rsidRPr="00000000" w14:paraId="00000004">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Layanan /Service yang kami sediakan bagi senior berupa pemeriksaan medis berkala, konsultasi kesehatan dan jiwa yang berkualitas. Menyediakan sarana aktifitas harian dari pagi sampai dengan sore hari, dimana aktivitas tersebut dapat dipilih sesuai minat kebutuhan para senior.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br w:type="textWrapping"/>
        <w:br w:type="textWrapping"/>
      </w:r>
    </w:p>
    <w:p w:rsidR="00000000" w:rsidDel="00000000" w:rsidP="00000000" w:rsidRDefault="00000000" w:rsidRPr="00000000" w14:paraId="00000005">
      <w:pP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ABOUT US</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Visi :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color w:val="000000"/>
          <w:sz w:val="40"/>
          <w:szCs w:val="40"/>
          <w:rtl w:val="0"/>
        </w:rPr>
        <w:t xml:space="preserve">“</w:t>
      </w:r>
      <w:r w:rsidDel="00000000" w:rsidR="00000000" w:rsidRPr="00000000">
        <w:rPr>
          <w:rFonts w:ascii="Times New Roman" w:cs="Times New Roman" w:eastAsia="Times New Roman" w:hAnsi="Times New Roman"/>
          <w:color w:val="000000"/>
          <w:sz w:val="24"/>
          <w:szCs w:val="24"/>
          <w:rtl w:val="0"/>
        </w:rPr>
        <w:t xml:space="preserve">Memancarkan Energi Positif Paska Masa Produktif berakhir”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851" w:right="0" w:hanging="27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Menawarkan layanan sosial berbasis masyarakat yang baik dan terjangkau bagi senior dan keluarganya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851" w:right="0" w:hanging="27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Menyediakan sarana dan prasarana untuk mencapai kualitas hidup yang nyaman dan terarah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851" w:right="0" w:hanging="27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Memberikan layanan kesehatan fisik dan mental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851" w:right="0" w:hanging="27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Memberikan konsultasi/ pendampingan medis sesuai dengan kondisi kesehatan para senior.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851" w:right="0" w:hanging="27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Slogan/Motto :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“Actively Happy, Happily Active”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(Diletakan di halaman bawah dan berupa animasi berjalan dari kiri ke kanan)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Our Team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567"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menggapai visi dan misi di atas Rumah Bahagia 84 akan membangun kepercayaan atas pelayanan yang diberikan dengan cara ‘menjaga kepuasan’, ‘profesionalisme’, ‘kehandalan’, dan ‘kualitas layanan’ kepada para senior yang membutuhkan, serta memberikan pelayanan yang berbeda dengan ‘day care”  yang sudah ada.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Rumah Bahagia 84 bernaung dibawah Yayasan FKUP84 dengan pelopor pertama terdiri atas 22 alumnus FKUP angkatan 1984.</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Struktur organisasi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223895"/>
            <wp:effectExtent b="0" l="0" r="0" t="0"/>
            <wp:docPr descr="A screenshot of a cell phone&#10;&#10;Description generated with high confidence" id="2" name="image2.png"/>
            <a:graphic>
              <a:graphicData uri="http://schemas.openxmlformats.org/drawingml/2006/picture">
                <pic:pic>
                  <pic:nvPicPr>
                    <pic:cNvPr descr="A screenshot of a cell phone&#10;&#10;Description generated with high confidence" id="0" name="image2.png"/>
                    <pic:cNvPicPr preferRelativeResize="0"/>
                  </pic:nvPicPr>
                  <pic:blipFill>
                    <a:blip r:embed="rId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Founders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Profile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Masing2 (foto dan cv singkat)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Our Service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Screening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Screening adalah tahap pertama untuk bergabung dengan Rumah Bahagia 84. Adapun tahap screening dengan cara dilakukan medical check-up terhadap calon-calon anggota, dengan tujuan untuk mengetahui status kesehatan calon-calon anggota tersebut. Bila dari hasil skrining masuk dalam kategori sehat atau penyakitnya terkendali, maka dapat diterima langsung menjadi anggota. Tetapi bila memiliki sakit tertentu yang membutuhkan pengobatan, maka calon anggota disarankan untuk berobat terlebih dahulu sampai keadaannya stabil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Konsultasi Berkala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ind w:left="70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Konsultasi berkala merupakan layanan yang diberikan kepada anggota yang mempunyai penyakit tetapi terkendali,.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Increasing Brain Power (Aktifitas)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Aktifitas pilihan yang dapat diikuti oleh anggota yaitu</w:t>
      </w:r>
    </w:p>
    <w:p w:rsidR="00000000" w:rsidDel="00000000" w:rsidP="00000000" w:rsidRDefault="00000000" w:rsidRPr="00000000" w14:paraId="0000002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64" w:lineRule="auto"/>
        <w:ind w:left="1134"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Olah raga</w:t>
      </w:r>
    </w:p>
    <w:p w:rsidR="00000000" w:rsidDel="00000000" w:rsidP="00000000" w:rsidRDefault="00000000" w:rsidRPr="00000000" w14:paraId="00000030">
      <w:pPr>
        <w:numPr>
          <w:ilvl w:val="2"/>
          <w:numId w:val="4"/>
        </w:numPr>
        <w:spacing w:after="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Diskusi</w:t>
      </w:r>
      <w:r w:rsidDel="00000000" w:rsidR="00000000" w:rsidRPr="00000000">
        <w:rPr>
          <w:rtl w:val="0"/>
        </w:rPr>
      </w:r>
    </w:p>
    <w:p w:rsidR="00000000" w:rsidDel="00000000" w:rsidP="00000000" w:rsidRDefault="00000000" w:rsidRPr="00000000" w14:paraId="00000031">
      <w:pPr>
        <w:numPr>
          <w:ilvl w:val="2"/>
          <w:numId w:val="4"/>
        </w:numPr>
        <w:spacing w:after="0" w:before="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Berkebun/hidroponik   </w:t>
      </w:r>
      <w:r w:rsidDel="00000000" w:rsidR="00000000" w:rsidRPr="00000000">
        <w:rPr>
          <w:rtl w:val="0"/>
        </w:rPr>
      </w:r>
    </w:p>
    <w:p w:rsidR="00000000" w:rsidDel="00000000" w:rsidP="00000000" w:rsidRDefault="00000000" w:rsidRPr="00000000" w14:paraId="00000032">
      <w:pPr>
        <w:numPr>
          <w:ilvl w:val="2"/>
          <w:numId w:val="4"/>
        </w:numPr>
        <w:spacing w:after="0" w:before="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Menyanyi/karaoke/bermain musik </w:t>
      </w:r>
      <w:r w:rsidDel="00000000" w:rsidR="00000000" w:rsidRPr="00000000">
        <w:rPr>
          <w:rtl w:val="0"/>
        </w:rPr>
      </w:r>
    </w:p>
    <w:p w:rsidR="00000000" w:rsidDel="00000000" w:rsidP="00000000" w:rsidRDefault="00000000" w:rsidRPr="00000000" w14:paraId="00000033">
      <w:pPr>
        <w:numPr>
          <w:ilvl w:val="2"/>
          <w:numId w:val="4"/>
        </w:numPr>
        <w:spacing w:after="0" w:before="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Memasak/membuat kue </w:t>
      </w:r>
      <w:r w:rsidDel="00000000" w:rsidR="00000000" w:rsidRPr="00000000">
        <w:rPr>
          <w:rtl w:val="0"/>
        </w:rPr>
      </w:r>
    </w:p>
    <w:p w:rsidR="00000000" w:rsidDel="00000000" w:rsidP="00000000" w:rsidRDefault="00000000" w:rsidRPr="00000000" w14:paraId="00000034">
      <w:pPr>
        <w:numPr>
          <w:ilvl w:val="2"/>
          <w:numId w:val="4"/>
        </w:numPr>
        <w:spacing w:after="0" w:before="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Merajut/Menjahit/menyulam</w:t>
      </w:r>
      <w:r w:rsidDel="00000000" w:rsidR="00000000" w:rsidRPr="00000000">
        <w:rPr>
          <w:rtl w:val="0"/>
        </w:rPr>
      </w:r>
    </w:p>
    <w:p w:rsidR="00000000" w:rsidDel="00000000" w:rsidP="00000000" w:rsidRDefault="00000000" w:rsidRPr="00000000" w14:paraId="00000035">
      <w:pPr>
        <w:numPr>
          <w:ilvl w:val="2"/>
          <w:numId w:val="4"/>
        </w:numPr>
        <w:spacing w:after="0" w:before="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Calibri" w:cs="Calibri" w:eastAsia="Calibri" w:hAnsi="Calibri"/>
          <w:color w:val="000000"/>
          <w:sz w:val="24"/>
          <w:szCs w:val="24"/>
          <w:rtl w:val="0"/>
        </w:rPr>
        <w:t xml:space="preserve">erbagi pengalaman dengan anak muda/anak sekolah</w:t>
      </w:r>
      <w:r w:rsidDel="00000000" w:rsidR="00000000" w:rsidRPr="00000000">
        <w:rPr>
          <w:rtl w:val="0"/>
        </w:rPr>
      </w:r>
    </w:p>
    <w:p w:rsidR="00000000" w:rsidDel="00000000" w:rsidP="00000000" w:rsidRDefault="00000000" w:rsidRPr="00000000" w14:paraId="00000036">
      <w:pPr>
        <w:numPr>
          <w:ilvl w:val="2"/>
          <w:numId w:val="4"/>
        </w:numPr>
        <w:spacing w:after="0" w:before="0" w:line="264" w:lineRule="auto"/>
        <w:ind w:left="1134"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Wisata Lokal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Membership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Setiap senior yang ingin menjaga kualitas hidup dan meningkatkan energi di Rumah Bahagia 84 wajib menjadi anggota lebih dahulu. Kami memberi keleluasaan kepada para senior untuk memilih keanggotaan sesuai dengan yang dibutuhkannya.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keanggotan tersebut terdiri atas 3jenis yaitu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532.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5864"/>
        <w:tblGridChange w:id="0">
          <w:tblGrid>
            <w:gridCol w:w="1668"/>
            <w:gridCol w:w="5864"/>
          </w:tblGrid>
        </w:tblGridChange>
      </w:tblGrid>
      <w:tr>
        <w:tc>
          <w:tcPr>
            <w:tcBorders>
              <w:top w:color="000000" w:space="0" w:sz="4" w:val="single"/>
              <w:left w:color="000000" w:space="0" w:sz="4" w:val="single"/>
            </w:tcBorders>
          </w:tcPr>
          <w:p w:rsidR="00000000" w:rsidDel="00000000" w:rsidP="00000000" w:rsidRDefault="00000000" w:rsidRPr="00000000" w14:paraId="0000003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Keanggotaan</w:t>
            </w:r>
          </w:p>
        </w:tc>
        <w:tc>
          <w:tcPr>
            <w:tcBorders>
              <w:top w:color="000000" w:space="0" w:sz="4" w:val="single"/>
              <w:right w:color="000000" w:space="0" w:sz="4" w:val="single"/>
            </w:tcBorders>
          </w:tcPr>
          <w:p w:rsidR="00000000" w:rsidDel="00000000" w:rsidP="00000000" w:rsidRDefault="00000000" w:rsidRPr="00000000" w14:paraId="0000004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Fasilitas</w:t>
            </w:r>
          </w:p>
        </w:tc>
      </w:tr>
      <w:tr>
        <w:tc>
          <w:tcPr>
            <w:tcBorders>
              <w:left w:color="000000" w:space="0" w:sz="4" w:val="single"/>
            </w:tcBorders>
          </w:tcPr>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Lengkap</w:t>
            </w:r>
          </w:p>
        </w:tc>
        <w:tc>
          <w:tcPr>
            <w:tcBorders>
              <w:right w:color="000000" w:space="0" w:sz="4" w:val="single"/>
            </w:tcBorders>
          </w:tcPr>
          <w:p w:rsidR="00000000" w:rsidDel="00000000" w:rsidP="00000000" w:rsidRDefault="00000000" w:rsidRPr="00000000" w14:paraId="00000042">
            <w:pPr>
              <w:numPr>
                <w:ilvl w:val="0"/>
                <w:numId w:val="2"/>
              </w:numPr>
              <w:spacing w:after="0" w:lineRule="auto"/>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Skrining tahunan</w:t>
            </w:r>
          </w:p>
          <w:p w:rsidR="00000000" w:rsidDel="00000000" w:rsidP="00000000" w:rsidRDefault="00000000" w:rsidRPr="00000000" w14:paraId="00000043">
            <w:pPr>
              <w:numPr>
                <w:ilvl w:val="0"/>
                <w:numId w:val="2"/>
              </w:numPr>
              <w:spacing w:after="0" w:before="0" w:lineRule="auto"/>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Pemeriksaan bulanan internist, 3 bulanan dokter syaraf, rehabilitasi medis dan gigi</w:t>
            </w:r>
          </w:p>
          <w:p w:rsidR="00000000" w:rsidDel="00000000" w:rsidP="00000000" w:rsidRDefault="00000000" w:rsidRPr="00000000" w14:paraId="00000044">
            <w:pPr>
              <w:numPr>
                <w:ilvl w:val="0"/>
                <w:numId w:val="2"/>
              </w:numPr>
              <w:spacing w:before="0" w:lineRule="auto"/>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‘drug reminder’</w:t>
            </w:r>
          </w:p>
        </w:tc>
      </w:tr>
      <w:tr>
        <w:tc>
          <w:tcPr>
            <w:tcBorders>
              <w:left w:color="000000" w:space="0" w:sz="4" w:val="single"/>
            </w:tcBorders>
          </w:tcPr>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Menengah</w:t>
            </w:r>
          </w:p>
        </w:tc>
        <w:tc>
          <w:tcPr>
            <w:tcBorders>
              <w:right w:color="000000" w:space="0" w:sz="4" w:val="single"/>
            </w:tcBorders>
          </w:tcPr>
          <w:p w:rsidR="00000000" w:rsidDel="00000000" w:rsidP="00000000" w:rsidRDefault="00000000" w:rsidRPr="00000000" w14:paraId="00000046">
            <w:pPr>
              <w:numPr>
                <w:ilvl w:val="0"/>
                <w:numId w:val="2"/>
              </w:numPr>
              <w:spacing w:after="0" w:lineRule="auto"/>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Skrining tahunan</w:t>
            </w:r>
          </w:p>
          <w:p w:rsidR="00000000" w:rsidDel="00000000" w:rsidP="00000000" w:rsidRDefault="00000000" w:rsidRPr="00000000" w14:paraId="00000047">
            <w:pPr>
              <w:numPr>
                <w:ilvl w:val="0"/>
                <w:numId w:val="2"/>
              </w:numPr>
              <w:spacing w:after="0" w:before="0" w:lineRule="auto"/>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Pemeriksaan 3 bulanan internist, dokter syaraf, dan rehabilitasi medis </w:t>
            </w:r>
          </w:p>
          <w:p w:rsidR="00000000" w:rsidDel="00000000" w:rsidP="00000000" w:rsidRDefault="00000000" w:rsidRPr="00000000" w14:paraId="00000048">
            <w:pPr>
              <w:numPr>
                <w:ilvl w:val="0"/>
                <w:numId w:val="2"/>
              </w:numPr>
              <w:spacing w:before="0" w:lineRule="auto"/>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Pemeriksaan 6 bulanan dokter gigi</w:t>
            </w:r>
          </w:p>
        </w:tc>
      </w:tr>
      <w:tr>
        <w:tc>
          <w:tcPr>
            <w:tcBorders>
              <w:left w:color="000000" w:space="0" w:sz="4" w:val="single"/>
              <w:bottom w:color="000000" w:space="0" w:sz="4" w:val="single"/>
            </w:tcBorders>
          </w:tcPr>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Hemat </w:t>
            </w:r>
          </w:p>
        </w:tc>
        <w:tc>
          <w:tcPr>
            <w:tcBorders>
              <w:bottom w:color="000000" w:space="0" w:sz="4" w:val="single"/>
              <w:right w:color="000000" w:space="0" w:sz="4" w:val="single"/>
            </w:tcBorders>
          </w:tcPr>
          <w:p w:rsidR="00000000" w:rsidDel="00000000" w:rsidP="00000000" w:rsidRDefault="00000000" w:rsidRPr="00000000" w14:paraId="0000004A">
            <w:pPr>
              <w:numPr>
                <w:ilvl w:val="0"/>
                <w:numId w:val="2"/>
              </w:numPr>
              <w:ind w:left="281"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Skrining tahunan</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Bagi para senior yang berminat untuk bergabung dengan Rumah Bahagia 84 dapat mengontak kami melalui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dapat juga mendaftar secara online melalui registrasi dibawah ini</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Registrasi yang dicantumkan yaitu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Alamat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Usia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KTP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Nomor Telepone/ HP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menjadi member adalah untuk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927"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Diri Sendiri</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927"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tua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92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Paket yang dipilih :</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927"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Lengkap</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927"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Menengah</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927"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Hemat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92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92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Jadwal Aktifitas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Aktifitas yg sudah dilakukan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Kemenkes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nutrisis dll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FAQs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Pertanyaan serta jawabannya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Us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Alama : Setrasari Kulon II No.16</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Telepone : 022-2019774</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FB : Rumah Bahagia 84</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Tweeter : @rumahbahagia84</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IG : Rumah Bahagia 84</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709"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ind w:left="70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927" w:hanging="360"/>
      </w:pPr>
      <w:rPr>
        <w:b w:val="1"/>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764EA"/>
    <w:pPr>
      <w:spacing w:after="100" w:afterAutospacing="1" w:before="100" w:beforeAutospacing="1" w:line="240" w:lineRule="auto"/>
    </w:pPr>
    <w:rPr>
      <w:rFonts w:ascii="Times New Roman" w:cs="Times New Roman" w:eastAsia="Times New Roman" w:hAnsi="Times New Roman"/>
      <w:sz w:val="24"/>
      <w:szCs w:val="24"/>
      <w:lang w:bidi="ar-SA" w:eastAsia="en-ID"/>
    </w:rPr>
  </w:style>
  <w:style w:type="paragraph" w:styleId="ListParagraph">
    <w:name w:val="List Paragraph"/>
    <w:basedOn w:val="Normal"/>
    <w:uiPriority w:val="34"/>
    <w:qFormat w:val="1"/>
    <w:rsid w:val="00471FFF"/>
    <w:pPr>
      <w:spacing w:after="0" w:line="240" w:lineRule="auto"/>
      <w:ind w:left="720"/>
      <w:contextualSpacing w:val="1"/>
    </w:pPr>
    <w:rPr>
      <w:szCs w:val="22"/>
      <w:lang w:bidi="ar-SA" w:val="en-US"/>
    </w:rPr>
  </w:style>
  <w:style w:type="table" w:styleId="TableGrid">
    <w:name w:val="Table Grid"/>
    <w:basedOn w:val="TableNormal"/>
    <w:uiPriority w:val="59"/>
    <w:rsid w:val="003F7F4C"/>
    <w:pPr>
      <w:spacing w:after="0" w:line="240" w:lineRule="auto"/>
    </w:pPr>
    <w:rPr>
      <w:szCs w:val="22"/>
      <w:lang w:bidi="ar-SA"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