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7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8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9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</w:t>
      </w:r>
      <w:r>
        <w:fldChar w:fldCharType="end"/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Грине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сержантом</w:t>
      </w:r>
      <w:r>
        <w:fldChar w:fldCharType="end"/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сержанта</w:t>
      </w:r>
      <w:r>
        <w:fldChar w:fldCharType="end"/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сержантом</w:t>
      </w:r>
      <w:r>
        <w:fldChar w:fldCharType="end"/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p>
      <w:pPr/>
      <w:bookmarkStart w:id="0" w:name="wwwroot_Images_ds.jpg"/>
      <w:r>
        <w:pict>
          <v:shape id="_x0000_i0001" o:spid="_x0000_i0002" type="#_x0000_t75" style="height:340pt;width:470pt" o:bordertopcolor="this" o:borderleftcolor="this" o:borderbottomcolor="this" o:borderrightcolor="this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notes" Target="footnotes.xml" /><Relationship Id="rId11" Type="http://schemas.openxmlformats.org/officeDocument/2006/relationships/image" Target="media/image1.jpe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hyperlink" Target="http://royallib.ru" TargetMode="External" /><Relationship Id="rId8" Type="http://schemas.openxmlformats.org/officeDocument/2006/relationships/hyperlink" Target="http://royallib.ru/author/pushkin_aleksandr.html" TargetMode="External" /><Relationship Id="rId9" Type="http://schemas.openxmlformats.org/officeDocument/2006/relationships/hyperlink" Target="http://royallib.ru/book/pushkin_aleksandr/kapitanskaya_dochk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