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FE320F" w:rsidRDefault="00402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154040" w:history="1">
            <w:r w:rsidR="00FE320F" w:rsidRPr="00353DF2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FE320F">
              <w:rPr>
                <w:noProof/>
                <w:webHidden/>
              </w:rPr>
              <w:tab/>
            </w:r>
            <w:r w:rsidR="00FE320F">
              <w:rPr>
                <w:noProof/>
                <w:webHidden/>
              </w:rPr>
              <w:fldChar w:fldCharType="begin"/>
            </w:r>
            <w:r w:rsidR="00FE320F">
              <w:rPr>
                <w:noProof/>
                <w:webHidden/>
              </w:rPr>
              <w:instrText xml:space="preserve"> PAGEREF _Toc528154040 \h </w:instrText>
            </w:r>
            <w:r w:rsidR="00FE320F">
              <w:rPr>
                <w:noProof/>
                <w:webHidden/>
              </w:rPr>
            </w:r>
            <w:r w:rsidR="00FE320F">
              <w:rPr>
                <w:noProof/>
                <w:webHidden/>
              </w:rPr>
              <w:fldChar w:fldCharType="separate"/>
            </w:r>
            <w:r w:rsidR="00FE320F">
              <w:rPr>
                <w:noProof/>
                <w:webHidden/>
              </w:rPr>
              <w:t>3</w:t>
            </w:r>
            <w:r w:rsidR="00FE320F"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5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6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Сущно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ть (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7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8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9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0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4040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54041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54042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C45723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код программы приведён в приложении А в разделе Слой клиента.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40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297">
        <w:rPr>
          <w:rFonts w:ascii="Times New Roman" w:hAnsi="Times New Roman"/>
          <w:sz w:val="28"/>
          <w:szCs w:val="28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EB40D9" w:rsidRPr="00C45723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код программы приведён в приложении А в разделе Слой бизнес логики.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815404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>…..</w:t>
      </w:r>
    </w:p>
    <w:p w:rsidR="00EB40D9" w:rsidRPr="00C45723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код программы приведён в приложении А в разделе Слой базы данных.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28154045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lastRenderedPageBreak/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EB40D9" w:rsidRPr="00EB40D9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в приложении А в разделе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Pr="00EB40D9">
        <w:rPr>
          <w:rFonts w:ascii="Times New Roman" w:hAnsi="Times New Roman"/>
          <w:sz w:val="28"/>
          <w:szCs w:val="28"/>
        </w:rPr>
        <w:t>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8154046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</w:t>
      </w:r>
      <w:r>
        <w:rPr>
          <w:rFonts w:ascii="Times New Roman" w:hAnsi="Times New Roman"/>
          <w:sz w:val="28"/>
        </w:rPr>
        <w:lastRenderedPageBreak/>
        <w:t xml:space="preserve">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92530E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92530E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92530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92530E">
        <w:rPr>
          <w:rFonts w:ascii="Times New Roman" w:hAnsi="Times New Roman"/>
          <w:sz w:val="28"/>
        </w:rPr>
        <w:t>(</w:t>
      </w:r>
      <w:proofErr w:type="gramEnd"/>
      <w:r w:rsidRPr="0092530E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92530E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92530E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92530E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EB40D9" w:rsidRPr="00EB40D9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код программы приведён в приложении А в разделе Сущности.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lastRenderedPageBreak/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Assert</w:t>
      </w:r>
      <w:r w:rsidRPr="00834297">
        <w:rPr>
          <w:rFonts w:ascii="Times New Roman" w:hAnsi="Times New Roman"/>
          <w:sz w:val="28"/>
        </w:rPr>
        <w:t>.</w:t>
      </w:r>
      <w:proofErr w:type="spellStart"/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834297">
        <w:rPr>
          <w:rFonts w:ascii="Times New Roman" w:hAnsi="Times New Roman"/>
          <w:sz w:val="28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834297">
        <w:rPr>
          <w:rFonts w:ascii="Times New Roman" w:hAnsi="Times New Roman"/>
          <w:sz w:val="28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834297">
        <w:rPr>
          <w:rFonts w:ascii="Times New Roman" w:hAnsi="Times New Roman"/>
          <w:sz w:val="28"/>
        </w:rPr>
        <w:t>");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>…..</w:t>
      </w:r>
    </w:p>
    <w:p w:rsidR="00EB40D9" w:rsidRPr="00EB40D9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код программы приведён в приложении А в разделе Тестирование.</w:t>
      </w:r>
    </w:p>
    <w:p w:rsid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 xml:space="preserve">]. </w:t>
      </w:r>
      <w:r>
        <w:rPr>
          <w:rFonts w:ascii="Times New Roman" w:hAnsi="Times New Roman"/>
          <w:sz w:val="28"/>
        </w:rPr>
        <w:t xml:space="preserve">В данном тесте используется не сама база данных, а её представление или копию.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528154047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7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EB40D9" w:rsidRPr="00C45723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EB40D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скрипта приведён в приложении Б.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528154048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8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28154049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9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EB40D9" w:rsidRPr="0092530E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в приложении В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разделе Модели.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528154050"/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0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EB40D9" w:rsidRPr="00EB40D9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в приложении В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разделе Представления.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1" w:name="_Toc528154051"/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1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EB40D9" w:rsidRPr="00EB40D9" w:rsidRDefault="00EB40D9" w:rsidP="00EB40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в приложении В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разделе Контроллеры.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528154052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2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3" w:name="_Toc528154053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3"/>
    </w:p>
    <w:p w:rsidR="004A18EF" w:rsidRDefault="004A18EF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Pr="00334C68" w:rsidRDefault="00D91380" w:rsidP="00334C68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D91380" w:rsidRDefault="00D91380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F295E" w:rsidRPr="00D91380" w:rsidRDefault="00D91380" w:rsidP="00D9138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4" w:name="_Toc528154054"/>
      <w:r w:rsidRPr="00D91380">
        <w:rPr>
          <w:rFonts w:ascii="Times New Roman" w:hAnsi="Times New Roman" w:cs="Times New Roman"/>
          <w:color w:val="auto"/>
        </w:rPr>
        <w:lastRenderedPageBreak/>
        <w:t>Приложение А</w:t>
      </w:r>
      <w:bookmarkEnd w:id="14"/>
    </w:p>
    <w:p w:rsidR="00D91380" w:rsidRDefault="00D91380" w:rsidP="00D91380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91380">
        <w:rPr>
          <w:rFonts w:ascii="Times New Roman" w:hAnsi="Times New Roman"/>
          <w:sz w:val="28"/>
        </w:rPr>
        <w:t>Приложение построенное, используя трёхслойную архитектуру.</w:t>
      </w:r>
    </w:p>
    <w:p w:rsidR="00EB40D9" w:rsidRPr="00834297" w:rsidRDefault="00EB40D9" w:rsidP="00EB40D9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EB40D9">
        <w:rPr>
          <w:rFonts w:ascii="Times New Roman" w:hAnsi="Times New Roman" w:cs="Times New Roman"/>
          <w:color w:val="auto"/>
          <w:sz w:val="28"/>
        </w:rPr>
        <w:t>Слой</w:t>
      </w:r>
      <w:r w:rsidRPr="0083429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EB40D9">
        <w:rPr>
          <w:rFonts w:ascii="Times New Roman" w:hAnsi="Times New Roman" w:cs="Times New Roman"/>
          <w:color w:val="auto"/>
          <w:sz w:val="28"/>
        </w:rPr>
        <w:t>клиента</w:t>
      </w:r>
    </w:p>
    <w:p w:rsidR="00B73BA3" w:rsidRPr="00B73BA3" w:rsidRDefault="00B73BA3" w:rsidP="00B73BA3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B73BA3">
        <w:rPr>
          <w:rFonts w:ascii="Times New Roman" w:hAnsi="Times New Roman" w:cs="Times New Roman"/>
          <w:color w:val="auto"/>
          <w:sz w:val="28"/>
        </w:rPr>
        <w:t>Слой бизнес логики</w:t>
      </w:r>
      <w:bookmarkStart w:id="15" w:name="_GoBack"/>
      <w:bookmarkEnd w:id="15"/>
    </w:p>
    <w:sectPr w:rsidR="00B73BA3" w:rsidRPr="00B73BA3" w:rsidSect="00995C46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7D" w:rsidRDefault="0066297D" w:rsidP="00A167B5">
      <w:pPr>
        <w:spacing w:after="0" w:line="240" w:lineRule="auto"/>
      </w:pPr>
      <w:r>
        <w:separator/>
      </w:r>
    </w:p>
  </w:endnote>
  <w:endnote w:type="continuationSeparator" w:id="0">
    <w:p w:rsidR="0066297D" w:rsidRDefault="0066297D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7D" w:rsidRDefault="0066297D" w:rsidP="00A167B5">
      <w:pPr>
        <w:spacing w:after="0" w:line="240" w:lineRule="auto"/>
      </w:pPr>
      <w:r>
        <w:separator/>
      </w:r>
    </w:p>
  </w:footnote>
  <w:footnote w:type="continuationSeparator" w:id="0">
    <w:p w:rsidR="0066297D" w:rsidRDefault="0066297D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46B0D44"/>
    <w:multiLevelType w:val="hybridMultilevel"/>
    <w:tmpl w:val="40B6D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D07AF"/>
    <w:rsid w:val="001F47C3"/>
    <w:rsid w:val="00253821"/>
    <w:rsid w:val="00291B94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643E8"/>
    <w:rsid w:val="005B5868"/>
    <w:rsid w:val="005B77B6"/>
    <w:rsid w:val="00613ACB"/>
    <w:rsid w:val="00655BD6"/>
    <w:rsid w:val="006628B4"/>
    <w:rsid w:val="0066297D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875DC"/>
    <w:rsid w:val="008B2539"/>
    <w:rsid w:val="008B372C"/>
    <w:rsid w:val="008F0D8B"/>
    <w:rsid w:val="008F5DF4"/>
    <w:rsid w:val="0092530E"/>
    <w:rsid w:val="00995C46"/>
    <w:rsid w:val="009A692E"/>
    <w:rsid w:val="009B4D2F"/>
    <w:rsid w:val="009C7B56"/>
    <w:rsid w:val="009E5BEB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5721D"/>
    <w:rsid w:val="00B67DA2"/>
    <w:rsid w:val="00B73BA3"/>
    <w:rsid w:val="00C45723"/>
    <w:rsid w:val="00C84334"/>
    <w:rsid w:val="00CE3722"/>
    <w:rsid w:val="00CF295E"/>
    <w:rsid w:val="00D01FE4"/>
    <w:rsid w:val="00D769A2"/>
    <w:rsid w:val="00D91380"/>
    <w:rsid w:val="00DC6BBF"/>
    <w:rsid w:val="00E23597"/>
    <w:rsid w:val="00E54B6E"/>
    <w:rsid w:val="00E56D07"/>
    <w:rsid w:val="00EB40D9"/>
    <w:rsid w:val="00EB72BD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ACE8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AA14-2D5F-449B-8766-B956DBC8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27</Pages>
  <Words>3970</Words>
  <Characters>22633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25</cp:revision>
  <dcterms:created xsi:type="dcterms:W3CDTF">2018-09-30T18:54:00Z</dcterms:created>
  <dcterms:modified xsi:type="dcterms:W3CDTF">2018-10-24T10:40:00Z</dcterms:modified>
</cp:coreProperties>
</file>