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E1EAF" w14:textId="4D8F1EB0" w:rsidR="008518BF" w:rsidRPr="008518BF" w:rsidRDefault="008518BF" w:rsidP="00022A4E">
      <w:pPr>
        <w:spacing w:line="276" w:lineRule="auto"/>
        <w:jc w:val="center"/>
        <w:rPr>
          <w:rFonts w:ascii="Arial" w:hAnsi="Arial" w:cs="Arial"/>
          <w:b/>
        </w:rPr>
      </w:pPr>
      <w:r w:rsidRPr="008518BF">
        <w:rPr>
          <w:rFonts w:ascii="Arial" w:hAnsi="Arial" w:cs="Arial"/>
          <w:b/>
        </w:rPr>
        <w:t xml:space="preserve">Supplementary </w:t>
      </w:r>
      <w:r w:rsidR="004F427C">
        <w:rPr>
          <w:rFonts w:ascii="Arial" w:hAnsi="Arial" w:cs="Arial"/>
          <w:b/>
        </w:rPr>
        <w:t>Data</w:t>
      </w:r>
    </w:p>
    <w:p w14:paraId="4406EA25" w14:textId="77777777" w:rsidR="008518BF" w:rsidRDefault="008518BF" w:rsidP="00022A4E">
      <w:pPr>
        <w:spacing w:line="276" w:lineRule="auto"/>
        <w:rPr>
          <w:rFonts w:ascii="Arial" w:hAnsi="Arial" w:cs="Arial"/>
          <w:b/>
          <w:sz w:val="22"/>
          <w:szCs w:val="22"/>
          <w:u w:val="single"/>
        </w:rPr>
      </w:pPr>
    </w:p>
    <w:p w14:paraId="2554E03B" w14:textId="53BC3806" w:rsidR="001C3877" w:rsidRPr="008518BF" w:rsidRDefault="003C7238" w:rsidP="00022A4E">
      <w:pPr>
        <w:spacing w:line="276" w:lineRule="auto"/>
        <w:rPr>
          <w:rFonts w:ascii="Arial" w:hAnsi="Arial" w:cs="Arial"/>
          <w:b/>
          <w:sz w:val="22"/>
          <w:szCs w:val="22"/>
        </w:rPr>
      </w:pPr>
      <w:r w:rsidRPr="008518BF">
        <w:rPr>
          <w:rFonts w:ascii="Arial" w:hAnsi="Arial" w:cs="Arial"/>
          <w:b/>
          <w:sz w:val="22"/>
          <w:szCs w:val="22"/>
        </w:rPr>
        <w:t>Suppleme</w:t>
      </w:r>
      <w:r w:rsidR="00242F33" w:rsidRPr="008518BF">
        <w:rPr>
          <w:rFonts w:ascii="Arial" w:hAnsi="Arial" w:cs="Arial"/>
          <w:b/>
          <w:sz w:val="22"/>
          <w:szCs w:val="22"/>
        </w:rPr>
        <w:t>ntal tables</w:t>
      </w:r>
    </w:p>
    <w:p w14:paraId="6AEA2884" w14:textId="68A017F7" w:rsidR="00242F33" w:rsidRPr="00242F33" w:rsidRDefault="00242F33" w:rsidP="00022A4E">
      <w:pPr>
        <w:spacing w:line="276" w:lineRule="auto"/>
        <w:rPr>
          <w:rFonts w:ascii="Arial" w:hAnsi="Arial" w:cs="Arial"/>
          <w:b/>
          <w:sz w:val="22"/>
          <w:szCs w:val="22"/>
        </w:rPr>
      </w:pPr>
      <w:r w:rsidRPr="00242F33">
        <w:rPr>
          <w:rFonts w:ascii="Arial" w:hAnsi="Arial" w:cs="Arial"/>
          <w:b/>
          <w:sz w:val="22"/>
          <w:szCs w:val="22"/>
        </w:rPr>
        <w:t>Table S1:</w:t>
      </w:r>
      <w:r w:rsidRPr="00242F33">
        <w:rPr>
          <w:rFonts w:ascii="Arial" w:hAnsi="Arial" w:cs="Arial"/>
          <w:sz w:val="22"/>
          <w:szCs w:val="22"/>
        </w:rPr>
        <w:t xml:space="preserve"> Patient-level clinical annotation.</w:t>
      </w:r>
    </w:p>
    <w:p w14:paraId="342131BC" w14:textId="68BCE585" w:rsidR="00242F33" w:rsidRPr="00242F33" w:rsidRDefault="00242F33" w:rsidP="00022A4E">
      <w:pPr>
        <w:spacing w:line="276" w:lineRule="auto"/>
        <w:rPr>
          <w:rFonts w:ascii="Arial" w:hAnsi="Arial" w:cs="Arial"/>
          <w:sz w:val="22"/>
          <w:szCs w:val="22"/>
        </w:rPr>
      </w:pPr>
      <w:r w:rsidRPr="00242F33">
        <w:rPr>
          <w:rFonts w:ascii="Arial" w:hAnsi="Arial" w:cs="Arial"/>
          <w:b/>
          <w:sz w:val="22"/>
          <w:szCs w:val="22"/>
        </w:rPr>
        <w:t>Table S2:</w:t>
      </w:r>
      <w:r w:rsidRPr="00242F33">
        <w:rPr>
          <w:rFonts w:ascii="Arial" w:hAnsi="Arial" w:cs="Arial"/>
          <w:sz w:val="22"/>
          <w:szCs w:val="22"/>
        </w:rPr>
        <w:t xml:space="preserve"> Sample-level clinical annotation.</w:t>
      </w:r>
    </w:p>
    <w:p w14:paraId="787DD4C8" w14:textId="630602EE" w:rsidR="00242F33" w:rsidRPr="00242F33" w:rsidRDefault="00242F33" w:rsidP="00022A4E">
      <w:pPr>
        <w:spacing w:line="276" w:lineRule="auto"/>
        <w:rPr>
          <w:rFonts w:ascii="Arial" w:hAnsi="Arial" w:cs="Arial"/>
          <w:sz w:val="22"/>
          <w:szCs w:val="22"/>
        </w:rPr>
      </w:pPr>
      <w:r w:rsidRPr="00242F33">
        <w:rPr>
          <w:rFonts w:ascii="Arial" w:hAnsi="Arial" w:cs="Arial"/>
          <w:b/>
          <w:sz w:val="22"/>
          <w:szCs w:val="22"/>
        </w:rPr>
        <w:t>Table S3:</w:t>
      </w:r>
      <w:r w:rsidRPr="00242F33">
        <w:rPr>
          <w:rFonts w:ascii="Arial" w:hAnsi="Arial" w:cs="Arial"/>
          <w:sz w:val="22"/>
          <w:szCs w:val="22"/>
        </w:rPr>
        <w:t xml:space="preserve"> Patient-level treatment lines.</w:t>
      </w:r>
    </w:p>
    <w:p w14:paraId="28293F0F" w14:textId="264161D2" w:rsidR="00F71CCD" w:rsidRPr="00242F33" w:rsidRDefault="00F71CCD" w:rsidP="00F71CCD">
      <w:pPr>
        <w:spacing w:line="276" w:lineRule="auto"/>
        <w:rPr>
          <w:rFonts w:ascii="Arial" w:hAnsi="Arial" w:cs="Arial"/>
          <w:sz w:val="22"/>
          <w:szCs w:val="22"/>
        </w:rPr>
      </w:pPr>
      <w:r w:rsidRPr="00242F33">
        <w:rPr>
          <w:rFonts w:ascii="Arial" w:hAnsi="Arial" w:cs="Arial"/>
          <w:b/>
          <w:sz w:val="22"/>
          <w:szCs w:val="22"/>
        </w:rPr>
        <w:t>Table S</w:t>
      </w:r>
      <w:r>
        <w:rPr>
          <w:rFonts w:ascii="Arial" w:hAnsi="Arial" w:cs="Arial"/>
          <w:b/>
          <w:sz w:val="22"/>
          <w:szCs w:val="22"/>
        </w:rPr>
        <w:t>4</w:t>
      </w:r>
      <w:r w:rsidRPr="00242F33">
        <w:rPr>
          <w:rFonts w:ascii="Arial" w:hAnsi="Arial" w:cs="Arial"/>
          <w:b/>
          <w:sz w:val="22"/>
          <w:szCs w:val="22"/>
        </w:rPr>
        <w:t>:</w:t>
      </w:r>
      <w:r w:rsidRPr="00242F33">
        <w:rPr>
          <w:rFonts w:ascii="Arial" w:hAnsi="Arial" w:cs="Arial"/>
          <w:sz w:val="22"/>
          <w:szCs w:val="22"/>
        </w:rPr>
        <w:t xml:space="preserve"> Gene panels for targeted sequencing.</w:t>
      </w:r>
    </w:p>
    <w:p w14:paraId="0E58F48B" w14:textId="38E85214" w:rsidR="00242F33" w:rsidRPr="00242F33" w:rsidRDefault="00242F33" w:rsidP="00022A4E">
      <w:pPr>
        <w:spacing w:line="276" w:lineRule="auto"/>
        <w:rPr>
          <w:rFonts w:ascii="Arial" w:hAnsi="Arial" w:cs="Arial"/>
          <w:sz w:val="22"/>
          <w:szCs w:val="22"/>
        </w:rPr>
      </w:pPr>
      <w:r w:rsidRPr="00242F33">
        <w:rPr>
          <w:rFonts w:ascii="Arial" w:hAnsi="Arial" w:cs="Arial"/>
          <w:b/>
          <w:sz w:val="22"/>
          <w:szCs w:val="22"/>
        </w:rPr>
        <w:t>Table S</w:t>
      </w:r>
      <w:r w:rsidR="00F71CCD">
        <w:rPr>
          <w:rFonts w:ascii="Arial" w:hAnsi="Arial" w:cs="Arial"/>
          <w:b/>
          <w:sz w:val="22"/>
          <w:szCs w:val="22"/>
        </w:rPr>
        <w:t>5</w:t>
      </w:r>
      <w:r w:rsidRPr="00242F33">
        <w:rPr>
          <w:rFonts w:ascii="Arial" w:hAnsi="Arial" w:cs="Arial"/>
          <w:b/>
          <w:sz w:val="22"/>
          <w:szCs w:val="22"/>
        </w:rPr>
        <w:t>:</w:t>
      </w:r>
      <w:r w:rsidRPr="00242F33">
        <w:rPr>
          <w:rFonts w:ascii="Arial" w:hAnsi="Arial" w:cs="Arial"/>
          <w:sz w:val="22"/>
          <w:szCs w:val="22"/>
        </w:rPr>
        <w:t xml:space="preserve"> Somatic mutations.</w:t>
      </w:r>
    </w:p>
    <w:p w14:paraId="05AA43F4" w14:textId="1214A7C8" w:rsidR="00242F33" w:rsidRPr="00242F33" w:rsidRDefault="00242F33" w:rsidP="00022A4E">
      <w:pPr>
        <w:spacing w:line="276" w:lineRule="auto"/>
        <w:rPr>
          <w:rFonts w:ascii="Arial" w:hAnsi="Arial" w:cs="Arial"/>
          <w:sz w:val="22"/>
          <w:szCs w:val="22"/>
        </w:rPr>
      </w:pPr>
      <w:r w:rsidRPr="00242F33">
        <w:rPr>
          <w:rFonts w:ascii="Arial" w:hAnsi="Arial" w:cs="Arial"/>
          <w:b/>
          <w:sz w:val="22"/>
          <w:szCs w:val="22"/>
        </w:rPr>
        <w:t>Table S</w:t>
      </w:r>
      <w:r w:rsidR="00F71CCD">
        <w:rPr>
          <w:rFonts w:ascii="Arial" w:hAnsi="Arial" w:cs="Arial"/>
          <w:b/>
          <w:sz w:val="22"/>
          <w:szCs w:val="22"/>
        </w:rPr>
        <w:t>6</w:t>
      </w:r>
      <w:r w:rsidR="006A10D2">
        <w:rPr>
          <w:rFonts w:ascii="Arial" w:hAnsi="Arial" w:cs="Arial"/>
          <w:b/>
          <w:sz w:val="22"/>
          <w:szCs w:val="22"/>
        </w:rPr>
        <w:fldChar w:fldCharType="begin">
          <w:fldData xml:space="preserve">PEVuZE5vdGU+PENpdGU+PEF1dGhvcj5Lb3JzaHVub3Y8L0F1dGhvcj48WWVhcj4yMDE4PC9ZZWFy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</w:fldData>
        </w:fldChar>
      </w:r>
      <w:r w:rsidR="006A10D2">
        <w:rPr>
          <w:rFonts w:ascii="Arial" w:hAnsi="Arial" w:cs="Arial"/>
          <w:b/>
          <w:sz w:val="22"/>
          <w:szCs w:val="22"/>
        </w:rPr>
        <w:instrText xml:space="preserve"> ADDIN EN.CITE </w:instrText>
      </w:r>
      <w:r w:rsidR="006A10D2">
        <w:rPr>
          <w:rFonts w:ascii="Arial" w:hAnsi="Arial" w:cs="Arial"/>
          <w:b/>
          <w:sz w:val="22"/>
          <w:szCs w:val="22"/>
        </w:rPr>
        <w:fldChar w:fldCharType="begin">
          <w:fldData xml:space="preserve">PEVuZE5vdGU+PENpdGU+PEF1dGhvcj5Lb3JzaHVub3Y8L0F1dGhvcj48WWVhcj4yMDE4PC9ZZWFy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</w:fldData>
        </w:fldChar>
      </w:r>
      <w:r w:rsidR="006A10D2">
        <w:rPr>
          <w:rFonts w:ascii="Arial" w:hAnsi="Arial" w:cs="Arial"/>
          <w:b/>
          <w:sz w:val="22"/>
          <w:szCs w:val="22"/>
        </w:rPr>
        <w:instrText xml:space="preserve"> ADDIN EN.CITE.DATA </w:instrText>
      </w:r>
      <w:r w:rsidR="006A10D2">
        <w:rPr>
          <w:rFonts w:ascii="Arial" w:hAnsi="Arial" w:cs="Arial"/>
          <w:b/>
          <w:sz w:val="22"/>
          <w:szCs w:val="22"/>
        </w:rPr>
      </w:r>
      <w:r w:rsidR="006A10D2">
        <w:rPr>
          <w:rFonts w:ascii="Arial" w:hAnsi="Arial" w:cs="Arial"/>
          <w:b/>
          <w:sz w:val="22"/>
          <w:szCs w:val="22"/>
        </w:rPr>
        <w:fldChar w:fldCharType="end"/>
      </w:r>
      <w:r w:rsidR="006A10D2">
        <w:rPr>
          <w:rFonts w:ascii="Arial" w:hAnsi="Arial" w:cs="Arial"/>
          <w:b/>
          <w:sz w:val="22"/>
          <w:szCs w:val="22"/>
        </w:rPr>
      </w:r>
      <w:r w:rsidR="006A10D2">
        <w:rPr>
          <w:rFonts w:ascii="Arial" w:hAnsi="Arial" w:cs="Arial"/>
          <w:b/>
          <w:sz w:val="22"/>
          <w:szCs w:val="22"/>
        </w:rPr>
        <w:fldChar w:fldCharType="end"/>
      </w:r>
      <w:r w:rsidRPr="00242F33">
        <w:rPr>
          <w:rFonts w:ascii="Arial" w:hAnsi="Arial" w:cs="Arial"/>
          <w:b/>
          <w:sz w:val="22"/>
          <w:szCs w:val="22"/>
        </w:rPr>
        <w:t>:</w:t>
      </w:r>
      <w:r w:rsidRPr="00242F33">
        <w:rPr>
          <w:rFonts w:ascii="Arial" w:hAnsi="Arial" w:cs="Arial"/>
          <w:sz w:val="22"/>
          <w:szCs w:val="22"/>
        </w:rPr>
        <w:t xml:space="preserve"> Gene-level copy number alterations.</w:t>
      </w:r>
    </w:p>
    <w:p w14:paraId="54A37A02" w14:textId="0D8AF35F" w:rsidR="00242F33" w:rsidRPr="00242F33" w:rsidRDefault="00242F33" w:rsidP="00022A4E">
      <w:pPr>
        <w:spacing w:line="276" w:lineRule="auto"/>
        <w:rPr>
          <w:rFonts w:ascii="Arial" w:hAnsi="Arial" w:cs="Arial"/>
          <w:b/>
          <w:sz w:val="22"/>
          <w:szCs w:val="22"/>
        </w:rPr>
      </w:pPr>
      <w:r w:rsidRPr="00242F33">
        <w:rPr>
          <w:rFonts w:ascii="Arial" w:hAnsi="Arial" w:cs="Arial"/>
          <w:b/>
          <w:sz w:val="22"/>
          <w:szCs w:val="22"/>
        </w:rPr>
        <w:t>Table S7:</w:t>
      </w:r>
      <w:r w:rsidRPr="00242F33">
        <w:rPr>
          <w:rFonts w:ascii="Arial" w:hAnsi="Arial" w:cs="Arial"/>
          <w:sz w:val="22"/>
          <w:szCs w:val="22"/>
        </w:rPr>
        <w:t xml:space="preserve"> Hotspot mutations in 3,130 sequenced glioma patients.</w:t>
      </w:r>
    </w:p>
    <w:p w14:paraId="1E8C726D" w14:textId="2FC3A68B" w:rsidR="00242F33" w:rsidRPr="00242F33" w:rsidRDefault="00242F33" w:rsidP="00022A4E">
      <w:pPr>
        <w:spacing w:line="276" w:lineRule="auto"/>
        <w:rPr>
          <w:rFonts w:ascii="Arial" w:hAnsi="Arial" w:cs="Arial"/>
          <w:sz w:val="22"/>
          <w:szCs w:val="22"/>
        </w:rPr>
      </w:pPr>
      <w:r w:rsidRPr="00242F33">
        <w:rPr>
          <w:rFonts w:ascii="Arial" w:hAnsi="Arial" w:cs="Arial"/>
          <w:b/>
          <w:sz w:val="22"/>
          <w:szCs w:val="22"/>
        </w:rPr>
        <w:t>Table S8:</w:t>
      </w:r>
      <w:r w:rsidRPr="00242F33">
        <w:rPr>
          <w:rFonts w:ascii="Arial" w:hAnsi="Arial" w:cs="Arial"/>
          <w:sz w:val="22"/>
          <w:szCs w:val="22"/>
        </w:rPr>
        <w:t xml:space="preserve"> Pathogenic and likely pathogenic germline variants identified.</w:t>
      </w:r>
    </w:p>
    <w:p w14:paraId="7FD8EF72" w14:textId="2FF1E327" w:rsidR="00242F33" w:rsidRPr="00242F33" w:rsidRDefault="00242F33" w:rsidP="00022A4E">
      <w:pPr>
        <w:spacing w:line="276" w:lineRule="auto"/>
        <w:rPr>
          <w:rFonts w:ascii="Arial" w:hAnsi="Arial" w:cs="Arial"/>
          <w:b/>
          <w:sz w:val="22"/>
          <w:szCs w:val="22"/>
        </w:rPr>
      </w:pPr>
      <w:r w:rsidRPr="00242F33">
        <w:rPr>
          <w:rFonts w:ascii="Arial" w:hAnsi="Arial" w:cs="Arial"/>
          <w:b/>
          <w:sz w:val="22"/>
          <w:szCs w:val="22"/>
        </w:rPr>
        <w:t xml:space="preserve">Table S9: </w:t>
      </w:r>
      <w:r w:rsidRPr="00242F33">
        <w:rPr>
          <w:rFonts w:ascii="Arial" w:hAnsi="Arial" w:cs="Arial"/>
          <w:sz w:val="22"/>
          <w:szCs w:val="22"/>
        </w:rPr>
        <w:t>Pathways and gene content for cohort-wide pathway-level analyses</w:t>
      </w:r>
      <w:r w:rsidR="00022A4E">
        <w:rPr>
          <w:rFonts w:ascii="Arial" w:hAnsi="Arial" w:cs="Arial"/>
          <w:sz w:val="22"/>
          <w:szCs w:val="22"/>
        </w:rPr>
        <w:t>.</w:t>
      </w:r>
    </w:p>
    <w:p w14:paraId="2C9C4D7E" w14:textId="07F0D366" w:rsidR="00242F33" w:rsidRPr="00242F33" w:rsidRDefault="00242F33" w:rsidP="00022A4E">
      <w:pPr>
        <w:spacing w:line="276" w:lineRule="auto"/>
        <w:rPr>
          <w:rFonts w:ascii="Arial" w:hAnsi="Arial" w:cs="Arial"/>
          <w:sz w:val="22"/>
          <w:szCs w:val="22"/>
        </w:rPr>
      </w:pPr>
    </w:p>
    <w:p w14:paraId="7292CDE8" w14:textId="51F54D46" w:rsidR="00242F33" w:rsidRPr="008518BF" w:rsidRDefault="00242F33" w:rsidP="00022A4E">
      <w:pPr>
        <w:spacing w:line="276" w:lineRule="auto"/>
        <w:rPr>
          <w:rFonts w:ascii="Arial" w:hAnsi="Arial" w:cs="Arial"/>
          <w:b/>
          <w:sz w:val="22"/>
          <w:szCs w:val="22"/>
        </w:rPr>
      </w:pPr>
      <w:r w:rsidRPr="008518BF">
        <w:rPr>
          <w:rFonts w:ascii="Arial" w:hAnsi="Arial" w:cs="Arial"/>
          <w:b/>
          <w:sz w:val="22"/>
          <w:szCs w:val="22"/>
        </w:rPr>
        <w:t>Supplemental figures</w:t>
      </w:r>
    </w:p>
    <w:p w14:paraId="4B2A46FB" w14:textId="2E2133DB" w:rsidR="00022A4E" w:rsidRDefault="00242F33" w:rsidP="00022A4E">
      <w:pPr>
        <w:spacing w:line="276" w:lineRule="auto"/>
        <w:rPr>
          <w:rFonts w:ascii="Arial" w:hAnsi="Arial" w:cs="Arial"/>
          <w:sz w:val="22"/>
          <w:szCs w:val="22"/>
        </w:rPr>
      </w:pPr>
      <w:r w:rsidRPr="00242F33">
        <w:rPr>
          <w:rFonts w:ascii="Arial" w:hAnsi="Arial" w:cs="Arial"/>
          <w:b/>
          <w:sz w:val="22"/>
          <w:szCs w:val="22"/>
        </w:rPr>
        <w:t xml:space="preserve">Figure S1: </w:t>
      </w:r>
      <w:r w:rsidR="00022A4E" w:rsidRPr="00022A4E">
        <w:rPr>
          <w:rFonts w:ascii="Arial" w:hAnsi="Arial" w:cs="Arial"/>
          <w:b/>
          <w:sz w:val="22"/>
          <w:szCs w:val="22"/>
        </w:rPr>
        <w:t>Distribution of systemic therapies received</w:t>
      </w:r>
      <w:r w:rsidR="00022A4E" w:rsidRPr="00E20384">
        <w:rPr>
          <w:rFonts w:ascii="Arial" w:hAnsi="Arial" w:cs="Arial"/>
          <w:b/>
          <w:sz w:val="22"/>
          <w:szCs w:val="22"/>
        </w:rPr>
        <w:t>.</w:t>
      </w:r>
      <w:r w:rsidR="00022A4E" w:rsidRPr="00E20384">
        <w:rPr>
          <w:rFonts w:ascii="Arial" w:hAnsi="Arial" w:cs="Arial"/>
          <w:sz w:val="22"/>
          <w:szCs w:val="22"/>
        </w:rPr>
        <w:t xml:space="preserve"> </w:t>
      </w:r>
      <w:r w:rsidR="00E20384" w:rsidRPr="00F54DDA">
        <w:rPr>
          <w:rFonts w:ascii="Arial" w:hAnsi="Arial" w:cs="Arial"/>
          <w:b/>
          <w:sz w:val="22"/>
          <w:szCs w:val="22"/>
        </w:rPr>
        <w:t xml:space="preserve">A) </w:t>
      </w:r>
      <w:r w:rsidR="00E20384" w:rsidRPr="00E20384">
        <w:rPr>
          <w:rFonts w:ascii="Arial" w:hAnsi="Arial" w:cs="Arial"/>
          <w:sz w:val="22"/>
          <w:szCs w:val="22"/>
        </w:rPr>
        <w:t>The number of patients in cohort that received the indicated systemic therapies at any point during their clinical history, prior to cohort data freeze. Treatment lines were only considered molecularly targeted if administered based on the presence of a genetic alteration in the drug target or the signaling pathway targeted by the</w:t>
      </w:r>
      <w:r w:rsidR="00E20384" w:rsidRPr="00E20384" w:rsidDel="008F2D3A">
        <w:rPr>
          <w:rFonts w:ascii="Arial" w:hAnsi="Arial" w:cs="Arial"/>
          <w:sz w:val="22"/>
          <w:szCs w:val="22"/>
        </w:rPr>
        <w:t xml:space="preserve"> </w:t>
      </w:r>
      <w:r w:rsidR="00E20384" w:rsidRPr="00E20384">
        <w:rPr>
          <w:rFonts w:ascii="Arial" w:hAnsi="Arial" w:cs="Arial"/>
          <w:sz w:val="22"/>
          <w:szCs w:val="22"/>
        </w:rPr>
        <w:t>drug in a molecularly characterized patient specimen.</w:t>
      </w:r>
      <w:r w:rsidR="00E20384" w:rsidRPr="00F54DDA">
        <w:rPr>
          <w:rFonts w:ascii="Arial" w:hAnsi="Arial" w:cs="Arial"/>
          <w:b/>
          <w:sz w:val="22"/>
          <w:szCs w:val="22"/>
        </w:rPr>
        <w:t xml:space="preserve"> B) </w:t>
      </w:r>
      <w:r w:rsidR="00E20384" w:rsidRPr="00E20384">
        <w:rPr>
          <w:rFonts w:ascii="Arial" w:hAnsi="Arial" w:cs="Arial"/>
          <w:sz w:val="22"/>
          <w:szCs w:val="22"/>
        </w:rPr>
        <w:t>Breakdown of the number of patients that received specified chemotherapeutic agent.</w:t>
      </w:r>
    </w:p>
    <w:p w14:paraId="4ACF3791" w14:textId="77777777" w:rsidR="00E20384" w:rsidRDefault="00E20384" w:rsidP="00022A4E">
      <w:pPr>
        <w:spacing w:line="276" w:lineRule="auto"/>
        <w:rPr>
          <w:rFonts w:ascii="Arial" w:hAnsi="Arial" w:cs="Arial"/>
          <w:b/>
          <w:sz w:val="22"/>
          <w:szCs w:val="22"/>
        </w:rPr>
      </w:pPr>
    </w:p>
    <w:p w14:paraId="3AA8A7EB" w14:textId="15C895DF" w:rsidR="00022A4E" w:rsidRDefault="00242F33" w:rsidP="00022A4E">
      <w:pPr>
        <w:spacing w:line="276" w:lineRule="auto"/>
        <w:rPr>
          <w:rFonts w:ascii="Arial" w:hAnsi="Arial" w:cs="Arial"/>
          <w:b/>
          <w:sz w:val="22"/>
          <w:szCs w:val="22"/>
        </w:rPr>
      </w:pPr>
      <w:r w:rsidRPr="00242F33">
        <w:rPr>
          <w:rFonts w:ascii="Arial" w:hAnsi="Arial" w:cs="Arial"/>
          <w:b/>
          <w:sz w:val="22"/>
          <w:szCs w:val="22"/>
        </w:rPr>
        <w:t>Figure S2:</w:t>
      </w:r>
      <w:r w:rsidRPr="00242F33">
        <w:rPr>
          <w:rFonts w:ascii="Arial" w:hAnsi="Arial" w:cs="Arial"/>
          <w:sz w:val="22"/>
          <w:szCs w:val="22"/>
        </w:rPr>
        <w:t xml:space="preserve"> </w:t>
      </w:r>
      <w:r w:rsidR="00022A4E" w:rsidRPr="00022A4E">
        <w:rPr>
          <w:rFonts w:ascii="Arial" w:hAnsi="Arial" w:cs="Arial"/>
          <w:b/>
          <w:sz w:val="22"/>
          <w:szCs w:val="22"/>
        </w:rPr>
        <w:t>Number of sequenced samples per patient</w:t>
      </w:r>
      <w:r w:rsidR="00022A4E" w:rsidRPr="00022A4E">
        <w:rPr>
          <w:rFonts w:ascii="Arial" w:hAnsi="Arial" w:cs="Arial"/>
          <w:sz w:val="22"/>
          <w:szCs w:val="22"/>
        </w:rPr>
        <w:t>. The percentage of patients in the cohort for which the indicated number of surgical specimens were sequenced is shown. The absolute numbers are indicated.</w:t>
      </w:r>
    </w:p>
    <w:p w14:paraId="4361B0CE" w14:textId="77777777" w:rsidR="00022A4E" w:rsidRDefault="00022A4E" w:rsidP="00022A4E">
      <w:pPr>
        <w:spacing w:line="276" w:lineRule="auto"/>
        <w:rPr>
          <w:rFonts w:ascii="Arial" w:hAnsi="Arial" w:cs="Arial"/>
          <w:b/>
          <w:sz w:val="22"/>
          <w:szCs w:val="22"/>
        </w:rPr>
      </w:pPr>
    </w:p>
    <w:p w14:paraId="58D11F71" w14:textId="6215964C" w:rsidR="00022A4E" w:rsidRDefault="00242F33" w:rsidP="00022A4E">
      <w:pPr>
        <w:spacing w:line="276" w:lineRule="auto"/>
        <w:rPr>
          <w:rFonts w:ascii="Arial" w:hAnsi="Arial" w:cs="Arial"/>
          <w:sz w:val="22"/>
          <w:szCs w:val="22"/>
        </w:rPr>
      </w:pPr>
      <w:r w:rsidRPr="00242F33">
        <w:rPr>
          <w:rFonts w:ascii="Arial" w:hAnsi="Arial" w:cs="Arial"/>
          <w:b/>
          <w:sz w:val="22"/>
          <w:szCs w:val="22"/>
        </w:rPr>
        <w:t>Figure S3:</w:t>
      </w:r>
      <w:r w:rsidRPr="00242F33">
        <w:rPr>
          <w:rFonts w:ascii="Arial" w:hAnsi="Arial" w:cs="Arial"/>
          <w:sz w:val="22"/>
          <w:szCs w:val="22"/>
        </w:rPr>
        <w:t xml:space="preserve"> </w:t>
      </w:r>
      <w:r w:rsidR="00E20384" w:rsidRPr="00E20384">
        <w:rPr>
          <w:rFonts w:ascii="Arial" w:hAnsi="Arial" w:cs="Arial"/>
          <w:b/>
          <w:sz w:val="22"/>
          <w:szCs w:val="22"/>
        </w:rPr>
        <w:t xml:space="preserve">Subgroup-defining genomic lesions in IDH-wildtype and -mutant gliomas. </w:t>
      </w:r>
      <w:r w:rsidR="00E20384" w:rsidRPr="00E20384">
        <w:rPr>
          <w:rFonts w:ascii="Arial" w:hAnsi="Arial" w:cs="Arial"/>
          <w:sz w:val="22"/>
          <w:szCs w:val="22"/>
        </w:rPr>
        <w:t>The frequency and pattern of cardinal genomic alterations in IDH-WT (top) and IDH-mutant (bottom) gliomas in this cohort.</w:t>
      </w:r>
    </w:p>
    <w:p w14:paraId="67AC5727" w14:textId="77777777" w:rsidR="00022A4E" w:rsidRDefault="00022A4E" w:rsidP="00022A4E">
      <w:pPr>
        <w:spacing w:line="276" w:lineRule="auto"/>
        <w:rPr>
          <w:rFonts w:ascii="Arial" w:hAnsi="Arial" w:cs="Arial"/>
          <w:b/>
          <w:sz w:val="22"/>
          <w:szCs w:val="22"/>
        </w:rPr>
      </w:pPr>
    </w:p>
    <w:p w14:paraId="10A1D060" w14:textId="48FDA764" w:rsidR="00022A4E" w:rsidRPr="00E20384" w:rsidRDefault="00242F33" w:rsidP="00022A4E">
      <w:pPr>
        <w:spacing w:line="276" w:lineRule="auto"/>
        <w:rPr>
          <w:rFonts w:ascii="Arial" w:hAnsi="Arial" w:cs="Arial"/>
          <w:sz w:val="22"/>
          <w:szCs w:val="22"/>
        </w:rPr>
      </w:pPr>
      <w:r w:rsidRPr="00242F33">
        <w:rPr>
          <w:rFonts w:ascii="Arial" w:hAnsi="Arial" w:cs="Arial"/>
          <w:b/>
          <w:sz w:val="22"/>
          <w:szCs w:val="22"/>
        </w:rPr>
        <w:t>Figure S4:</w:t>
      </w:r>
      <w:r w:rsidRPr="00242F33">
        <w:rPr>
          <w:rFonts w:ascii="Arial" w:hAnsi="Arial" w:cs="Arial"/>
          <w:sz w:val="22"/>
          <w:szCs w:val="22"/>
        </w:rPr>
        <w:t xml:space="preserve"> </w:t>
      </w:r>
      <w:r w:rsidR="00E20384" w:rsidRPr="00E20384">
        <w:rPr>
          <w:rFonts w:ascii="Arial" w:hAnsi="Arial" w:cs="Arial"/>
          <w:b/>
          <w:sz w:val="22"/>
          <w:szCs w:val="22"/>
        </w:rPr>
        <w:t xml:space="preserve">Frequency of mutations in primary tumors. </w:t>
      </w:r>
      <w:r w:rsidR="00E20384" w:rsidRPr="00E20384">
        <w:rPr>
          <w:rFonts w:ascii="Arial" w:hAnsi="Arial" w:cs="Arial"/>
          <w:sz w:val="22"/>
          <w:szCs w:val="22"/>
        </w:rPr>
        <w:t xml:space="preserve">The frequency of mutations in the primary tumors of the study cohort (MSK) compared to those profiled by The Cancer Genome Atlas (TCGA) LGG and GBM cohorts. </w:t>
      </w:r>
      <w:r w:rsidR="00E20384" w:rsidRPr="00F54DDA">
        <w:rPr>
          <w:rFonts w:ascii="Arial" w:hAnsi="Arial" w:cs="Arial"/>
          <w:b/>
          <w:sz w:val="22"/>
          <w:szCs w:val="22"/>
        </w:rPr>
        <w:t>A)</w:t>
      </w:r>
      <w:r w:rsidR="00E20384" w:rsidRPr="00E20384">
        <w:rPr>
          <w:rFonts w:ascii="Arial" w:hAnsi="Arial" w:cs="Arial"/>
          <w:sz w:val="22"/>
          <w:szCs w:val="22"/>
        </w:rPr>
        <w:t xml:space="preserve"> WHO grade IV IDH-WT tumors. </w:t>
      </w:r>
      <w:r w:rsidR="00E20384" w:rsidRPr="00F54DDA">
        <w:rPr>
          <w:rFonts w:ascii="Arial" w:hAnsi="Arial" w:cs="Arial"/>
          <w:b/>
          <w:sz w:val="22"/>
          <w:szCs w:val="22"/>
        </w:rPr>
        <w:t>B)</w:t>
      </w:r>
      <w:r w:rsidR="00E20384" w:rsidRPr="00E20384">
        <w:rPr>
          <w:rFonts w:ascii="Arial" w:hAnsi="Arial" w:cs="Arial"/>
          <w:sz w:val="22"/>
          <w:szCs w:val="22"/>
        </w:rPr>
        <w:t xml:space="preserve"> WHO grade II-III IDH-WT tumors. c) WHO grade II-IV IDH-mutant tumors. Asterisks indicate significant differences, </w:t>
      </w:r>
      <w:r w:rsidR="00E20384" w:rsidRPr="00E20384">
        <w:rPr>
          <w:rFonts w:ascii="Arial" w:hAnsi="Arial" w:cs="Arial"/>
          <w:i/>
          <w:sz w:val="22"/>
          <w:szCs w:val="22"/>
        </w:rPr>
        <w:t>P</w:t>
      </w:r>
      <w:r w:rsidR="00E20384" w:rsidRPr="00E20384">
        <w:rPr>
          <w:rFonts w:ascii="Arial" w:hAnsi="Arial" w:cs="Arial"/>
          <w:sz w:val="22"/>
          <w:szCs w:val="22"/>
        </w:rPr>
        <w:t xml:space="preserve">&lt; 0.1. Alterations shown if they occur in at least 10% or 5% of either cohort in </w:t>
      </w:r>
      <w:r w:rsidR="00E20384" w:rsidRPr="00F54DDA">
        <w:rPr>
          <w:rFonts w:ascii="Arial" w:hAnsi="Arial" w:cs="Arial"/>
          <w:b/>
          <w:sz w:val="22"/>
          <w:szCs w:val="22"/>
        </w:rPr>
        <w:t>A</w:t>
      </w:r>
      <w:r w:rsidR="00E20384" w:rsidRPr="00E20384">
        <w:rPr>
          <w:rFonts w:ascii="Arial" w:hAnsi="Arial" w:cs="Arial"/>
          <w:sz w:val="22"/>
          <w:szCs w:val="22"/>
        </w:rPr>
        <w:t xml:space="preserve">, </w:t>
      </w:r>
      <w:r w:rsidR="00E20384" w:rsidRPr="00F54DDA">
        <w:rPr>
          <w:rFonts w:ascii="Arial" w:hAnsi="Arial" w:cs="Arial"/>
          <w:b/>
          <w:sz w:val="22"/>
          <w:szCs w:val="22"/>
        </w:rPr>
        <w:t>B</w:t>
      </w:r>
      <w:r w:rsidR="00E20384" w:rsidRPr="00E20384">
        <w:rPr>
          <w:rFonts w:ascii="Arial" w:hAnsi="Arial" w:cs="Arial"/>
          <w:sz w:val="22"/>
          <w:szCs w:val="22"/>
        </w:rPr>
        <w:t xml:space="preserve"> or </w:t>
      </w:r>
      <w:r w:rsidR="00E20384" w:rsidRPr="00F54DDA">
        <w:rPr>
          <w:rFonts w:ascii="Arial" w:hAnsi="Arial" w:cs="Arial"/>
          <w:b/>
          <w:sz w:val="22"/>
          <w:szCs w:val="22"/>
        </w:rPr>
        <w:t>C</w:t>
      </w:r>
      <w:r w:rsidR="00E20384" w:rsidRPr="00E20384">
        <w:rPr>
          <w:rFonts w:ascii="Arial" w:hAnsi="Arial" w:cs="Arial"/>
          <w:sz w:val="22"/>
          <w:szCs w:val="22"/>
        </w:rPr>
        <w:t>, respectively.</w:t>
      </w:r>
      <w:r w:rsidR="00022A4E" w:rsidRPr="00E20384">
        <w:rPr>
          <w:rFonts w:ascii="Arial" w:hAnsi="Arial" w:cs="Arial"/>
          <w:sz w:val="22"/>
          <w:szCs w:val="22"/>
        </w:rPr>
        <w:t xml:space="preserve"> </w:t>
      </w:r>
    </w:p>
    <w:p w14:paraId="39C9E4B4" w14:textId="77777777" w:rsidR="00022A4E" w:rsidRDefault="00022A4E" w:rsidP="00022A4E">
      <w:pPr>
        <w:spacing w:line="276" w:lineRule="auto"/>
        <w:rPr>
          <w:rFonts w:ascii="Arial" w:hAnsi="Arial" w:cs="Arial"/>
          <w:b/>
          <w:sz w:val="22"/>
          <w:szCs w:val="22"/>
        </w:rPr>
      </w:pPr>
    </w:p>
    <w:p w14:paraId="7FF39867" w14:textId="70E09B5C" w:rsidR="00242F33" w:rsidRPr="00E20384" w:rsidRDefault="00242F33" w:rsidP="00022A4E">
      <w:pPr>
        <w:spacing w:line="276" w:lineRule="auto"/>
        <w:rPr>
          <w:rFonts w:ascii="Arial" w:hAnsi="Arial" w:cs="Arial"/>
          <w:sz w:val="22"/>
          <w:szCs w:val="22"/>
        </w:rPr>
      </w:pPr>
      <w:r w:rsidRPr="00242F33">
        <w:rPr>
          <w:rFonts w:ascii="Arial" w:hAnsi="Arial" w:cs="Arial"/>
          <w:b/>
          <w:sz w:val="22"/>
          <w:szCs w:val="22"/>
        </w:rPr>
        <w:t>Figure S5:</w:t>
      </w:r>
      <w:r w:rsidRPr="00242F33">
        <w:rPr>
          <w:rFonts w:ascii="Arial" w:hAnsi="Arial" w:cs="Arial"/>
          <w:sz w:val="22"/>
          <w:szCs w:val="22"/>
        </w:rPr>
        <w:t xml:space="preserve"> </w:t>
      </w:r>
      <w:r w:rsidR="00E20384" w:rsidRPr="00E20384">
        <w:rPr>
          <w:rFonts w:ascii="Arial" w:hAnsi="Arial" w:cs="Arial"/>
          <w:b/>
          <w:sz w:val="22"/>
          <w:szCs w:val="22"/>
        </w:rPr>
        <w:t xml:space="preserve">Frequency of glioma type-defining genes. </w:t>
      </w:r>
      <w:r w:rsidR="00E20384" w:rsidRPr="00E20384">
        <w:rPr>
          <w:rFonts w:ascii="Arial" w:hAnsi="Arial" w:cs="Arial"/>
          <w:sz w:val="22"/>
          <w:szCs w:val="22"/>
        </w:rPr>
        <w:t>The rate of mutations in glioma type-defining genes (</w:t>
      </w:r>
      <w:r w:rsidR="00E20384" w:rsidRPr="00E20384">
        <w:rPr>
          <w:rFonts w:ascii="Arial" w:hAnsi="Arial" w:cs="Arial"/>
          <w:i/>
          <w:sz w:val="22"/>
          <w:szCs w:val="22"/>
        </w:rPr>
        <w:t>CIC</w:t>
      </w:r>
      <w:r w:rsidR="00E20384" w:rsidRPr="00E20384">
        <w:rPr>
          <w:rFonts w:ascii="Arial" w:hAnsi="Arial" w:cs="Arial"/>
          <w:sz w:val="22"/>
          <w:szCs w:val="22"/>
        </w:rPr>
        <w:t xml:space="preserve">, </w:t>
      </w:r>
      <w:r w:rsidR="00E20384" w:rsidRPr="00E20384">
        <w:rPr>
          <w:rFonts w:ascii="Arial" w:hAnsi="Arial" w:cs="Arial"/>
          <w:i/>
          <w:sz w:val="22"/>
          <w:szCs w:val="22"/>
        </w:rPr>
        <w:t>FUBP1</w:t>
      </w:r>
      <w:r w:rsidR="00E20384" w:rsidRPr="00E20384">
        <w:rPr>
          <w:rFonts w:ascii="Arial" w:hAnsi="Arial" w:cs="Arial"/>
          <w:sz w:val="22"/>
          <w:szCs w:val="22"/>
        </w:rPr>
        <w:t xml:space="preserve"> and </w:t>
      </w:r>
      <w:r w:rsidR="00E20384" w:rsidRPr="00E20384">
        <w:rPr>
          <w:rFonts w:ascii="Arial" w:hAnsi="Arial" w:cs="Arial"/>
          <w:i/>
          <w:sz w:val="22"/>
          <w:szCs w:val="22"/>
        </w:rPr>
        <w:t>TERT</w:t>
      </w:r>
      <w:r w:rsidR="00E20384" w:rsidRPr="00E20384">
        <w:rPr>
          <w:rFonts w:ascii="Arial" w:hAnsi="Arial" w:cs="Arial"/>
          <w:sz w:val="22"/>
          <w:szCs w:val="22"/>
        </w:rPr>
        <w:t xml:space="preserve"> promoter for 1p19q co-deleted tumors; </w:t>
      </w:r>
      <w:r w:rsidR="00E20384" w:rsidRPr="00E20384">
        <w:rPr>
          <w:rFonts w:ascii="Arial" w:hAnsi="Arial" w:cs="Arial"/>
          <w:i/>
          <w:sz w:val="22"/>
          <w:szCs w:val="22"/>
        </w:rPr>
        <w:t>ATRX</w:t>
      </w:r>
      <w:r w:rsidR="00E20384" w:rsidRPr="00E20384">
        <w:rPr>
          <w:rFonts w:ascii="Arial" w:hAnsi="Arial" w:cs="Arial"/>
          <w:sz w:val="22"/>
          <w:szCs w:val="22"/>
        </w:rPr>
        <w:t xml:space="preserve"> and </w:t>
      </w:r>
      <w:r w:rsidR="00E20384" w:rsidRPr="00E20384">
        <w:rPr>
          <w:rFonts w:ascii="Arial" w:hAnsi="Arial" w:cs="Arial"/>
          <w:i/>
          <w:sz w:val="22"/>
          <w:szCs w:val="22"/>
        </w:rPr>
        <w:t>TP53</w:t>
      </w:r>
      <w:r w:rsidR="00E20384" w:rsidRPr="00E20384">
        <w:rPr>
          <w:rFonts w:ascii="Arial" w:hAnsi="Arial" w:cs="Arial"/>
          <w:sz w:val="22"/>
          <w:szCs w:val="22"/>
        </w:rPr>
        <w:t xml:space="preserve"> for 1p19q intact tumors), cell-cycle genes, and PI3K/AKT, or RTK-RAS pathway genes. Mutation rates are shown across the three types of IDH-mutant gliomas: grade II/III co-deleted tumors, grade II/III 1p19q intact tumors, and grade IV 1p19q intact tumors, stratified by enhancement. Asterisks indicate </w:t>
      </w:r>
      <w:r w:rsidR="00E20384" w:rsidRPr="00E20384">
        <w:rPr>
          <w:rFonts w:ascii="Arial" w:hAnsi="Arial" w:cs="Arial"/>
          <w:i/>
          <w:sz w:val="22"/>
          <w:szCs w:val="22"/>
        </w:rPr>
        <w:t>P</w:t>
      </w:r>
      <w:r w:rsidR="00E20384" w:rsidRPr="00E20384">
        <w:rPr>
          <w:rFonts w:ascii="Arial" w:hAnsi="Arial" w:cs="Arial"/>
          <w:sz w:val="22"/>
          <w:szCs w:val="22"/>
        </w:rPr>
        <w:t>&lt;0.05 from Fisher’s exact test, N.S. not significant.</w:t>
      </w:r>
    </w:p>
    <w:p w14:paraId="1659D9A1" w14:textId="77777777" w:rsidR="00022A4E" w:rsidRDefault="00022A4E" w:rsidP="00022A4E">
      <w:pPr>
        <w:spacing w:line="276" w:lineRule="auto"/>
        <w:rPr>
          <w:rFonts w:ascii="Arial" w:hAnsi="Arial" w:cs="Arial"/>
          <w:b/>
          <w:sz w:val="22"/>
          <w:szCs w:val="22"/>
        </w:rPr>
      </w:pPr>
    </w:p>
    <w:p w14:paraId="79BAD6A2" w14:textId="01CB4623" w:rsidR="00022A4E" w:rsidRDefault="00242F33" w:rsidP="00022A4E">
      <w:pPr>
        <w:spacing w:line="276" w:lineRule="auto"/>
        <w:rPr>
          <w:rFonts w:ascii="Arial" w:hAnsi="Arial" w:cs="Arial"/>
          <w:sz w:val="22"/>
          <w:szCs w:val="22"/>
        </w:rPr>
      </w:pPr>
      <w:r w:rsidRPr="00242F33">
        <w:rPr>
          <w:rFonts w:ascii="Arial" w:hAnsi="Arial" w:cs="Arial"/>
          <w:b/>
          <w:sz w:val="22"/>
          <w:szCs w:val="22"/>
        </w:rPr>
        <w:lastRenderedPageBreak/>
        <w:t>Figure S6:</w:t>
      </w:r>
      <w:r w:rsidRPr="00242F33">
        <w:rPr>
          <w:rFonts w:ascii="Arial" w:hAnsi="Arial" w:cs="Arial"/>
          <w:sz w:val="22"/>
          <w:szCs w:val="22"/>
        </w:rPr>
        <w:t xml:space="preserve"> </w:t>
      </w:r>
      <w:r w:rsidR="00022A4E" w:rsidRPr="00022A4E">
        <w:rPr>
          <w:rFonts w:ascii="Arial" w:hAnsi="Arial" w:cs="Arial"/>
          <w:b/>
          <w:sz w:val="22"/>
          <w:szCs w:val="22"/>
        </w:rPr>
        <w:t>Outcome by cell</w:t>
      </w:r>
      <w:r w:rsidR="00E20384">
        <w:rPr>
          <w:rFonts w:ascii="Arial" w:hAnsi="Arial" w:cs="Arial"/>
          <w:b/>
          <w:sz w:val="22"/>
          <w:szCs w:val="22"/>
        </w:rPr>
        <w:t>-</w:t>
      </w:r>
      <w:r w:rsidR="00022A4E" w:rsidRPr="00022A4E">
        <w:rPr>
          <w:rFonts w:ascii="Arial" w:hAnsi="Arial" w:cs="Arial"/>
          <w:b/>
          <w:sz w:val="22"/>
          <w:szCs w:val="22"/>
        </w:rPr>
        <w:t>cycle alteration status.</w:t>
      </w:r>
      <w:r w:rsidR="00022A4E" w:rsidRPr="00022A4E">
        <w:rPr>
          <w:rFonts w:ascii="Arial" w:hAnsi="Arial" w:cs="Arial"/>
          <w:sz w:val="22"/>
          <w:szCs w:val="22"/>
        </w:rPr>
        <w:t xml:space="preserve"> </w:t>
      </w:r>
      <w:r w:rsidR="00022A4E" w:rsidRPr="00022A4E">
        <w:rPr>
          <w:rFonts w:ascii="Arial" w:hAnsi="Arial" w:cs="Arial"/>
          <w:b/>
          <w:sz w:val="22"/>
          <w:szCs w:val="22"/>
        </w:rPr>
        <w:t>A)</w:t>
      </w:r>
      <w:r w:rsidR="00022A4E" w:rsidRPr="00022A4E">
        <w:rPr>
          <w:rFonts w:ascii="Arial" w:hAnsi="Arial" w:cs="Arial"/>
          <w:sz w:val="22"/>
          <w:szCs w:val="22"/>
        </w:rPr>
        <w:t xml:space="preserve"> In IDH-mutant 1p19q intact tumors, overall survival from the time of recurrent surgery is significantly shorter in patients whose recurrence exhibit pre-operative MRI enhancement and whose tumors harbored a cell-cycle alteration. In multivariate models of </w:t>
      </w:r>
      <w:r w:rsidR="00022A4E" w:rsidRPr="00022A4E">
        <w:rPr>
          <w:rFonts w:ascii="Arial" w:hAnsi="Arial" w:cs="Arial"/>
          <w:b/>
          <w:sz w:val="22"/>
          <w:szCs w:val="22"/>
        </w:rPr>
        <w:t xml:space="preserve">(B) </w:t>
      </w:r>
      <w:r w:rsidR="00022A4E" w:rsidRPr="00022A4E">
        <w:rPr>
          <w:rFonts w:ascii="Arial" w:hAnsi="Arial" w:cs="Arial"/>
          <w:sz w:val="22"/>
          <w:szCs w:val="22"/>
        </w:rPr>
        <w:t xml:space="preserve">progression-free and </w:t>
      </w:r>
      <w:r w:rsidR="00022A4E" w:rsidRPr="00022A4E">
        <w:rPr>
          <w:rFonts w:ascii="Arial" w:hAnsi="Arial" w:cs="Arial"/>
          <w:b/>
          <w:sz w:val="22"/>
          <w:szCs w:val="22"/>
        </w:rPr>
        <w:t>(C)</w:t>
      </w:r>
      <w:r w:rsidR="00022A4E" w:rsidRPr="00022A4E">
        <w:rPr>
          <w:rFonts w:ascii="Arial" w:hAnsi="Arial" w:cs="Arial"/>
          <w:sz w:val="22"/>
          <w:szCs w:val="22"/>
        </w:rPr>
        <w:t xml:space="preserve"> overall survival in (</w:t>
      </w:r>
      <w:r w:rsidR="00022A4E" w:rsidRPr="00022A4E">
        <w:rPr>
          <w:rFonts w:ascii="Arial" w:hAnsi="Arial" w:cs="Arial"/>
          <w:b/>
          <w:sz w:val="22"/>
          <w:szCs w:val="22"/>
        </w:rPr>
        <w:t>Fig. 2E</w:t>
      </w:r>
      <w:r w:rsidR="00022A4E" w:rsidRPr="00022A4E">
        <w:rPr>
          <w:rFonts w:ascii="Arial" w:hAnsi="Arial" w:cs="Arial"/>
          <w:sz w:val="22"/>
          <w:szCs w:val="22"/>
        </w:rPr>
        <w:t xml:space="preserve"> and panel </w:t>
      </w:r>
      <w:r w:rsidR="00022A4E" w:rsidRPr="00022A4E">
        <w:rPr>
          <w:rFonts w:ascii="Arial" w:hAnsi="Arial" w:cs="Arial"/>
          <w:b/>
          <w:sz w:val="22"/>
          <w:szCs w:val="22"/>
        </w:rPr>
        <w:t>(A)</w:t>
      </w:r>
      <w:r w:rsidR="00022A4E" w:rsidRPr="00022A4E">
        <w:rPr>
          <w:rFonts w:ascii="Arial" w:hAnsi="Arial" w:cs="Arial"/>
          <w:sz w:val="22"/>
          <w:szCs w:val="22"/>
        </w:rPr>
        <w:t>, respectively), MRI enhancement and cell-cycle mutations are independently associated with worse outcome.</w:t>
      </w:r>
    </w:p>
    <w:p w14:paraId="50567828" w14:textId="77777777" w:rsidR="00022A4E" w:rsidRPr="00022A4E" w:rsidRDefault="00022A4E" w:rsidP="00022A4E">
      <w:pPr>
        <w:spacing w:line="276" w:lineRule="auto"/>
        <w:rPr>
          <w:rFonts w:ascii="Arial" w:hAnsi="Arial" w:cs="Arial"/>
          <w:sz w:val="22"/>
          <w:szCs w:val="22"/>
        </w:rPr>
      </w:pPr>
    </w:p>
    <w:p w14:paraId="64116932" w14:textId="08550A94" w:rsidR="00F54DDA" w:rsidRPr="00F54DDA" w:rsidRDefault="00242F33" w:rsidP="00F54DDA">
      <w:pPr>
        <w:spacing w:line="276" w:lineRule="auto"/>
        <w:rPr>
          <w:rFonts w:ascii="Arial" w:hAnsi="Arial" w:cs="Arial"/>
          <w:sz w:val="22"/>
          <w:szCs w:val="22"/>
        </w:rPr>
      </w:pPr>
      <w:r w:rsidRPr="00242F33">
        <w:rPr>
          <w:rFonts w:ascii="Arial" w:hAnsi="Arial" w:cs="Arial"/>
          <w:b/>
          <w:sz w:val="22"/>
          <w:szCs w:val="22"/>
        </w:rPr>
        <w:t>Figure S7:</w:t>
      </w:r>
      <w:r w:rsidRPr="00242F33">
        <w:rPr>
          <w:rFonts w:ascii="Arial" w:hAnsi="Arial" w:cs="Arial"/>
          <w:sz w:val="22"/>
          <w:szCs w:val="22"/>
        </w:rPr>
        <w:t xml:space="preserve"> </w:t>
      </w:r>
      <w:r w:rsidR="00F54DDA" w:rsidRPr="00F54DDA">
        <w:rPr>
          <w:rFonts w:ascii="Arial" w:hAnsi="Arial" w:cs="Arial"/>
          <w:b/>
          <w:sz w:val="22"/>
          <w:szCs w:val="22"/>
        </w:rPr>
        <w:t>Alteration</w:t>
      </w:r>
      <w:r w:rsidR="00F54DDA">
        <w:rPr>
          <w:rFonts w:ascii="Arial" w:hAnsi="Arial" w:cs="Arial"/>
          <w:b/>
          <w:sz w:val="22"/>
          <w:szCs w:val="22"/>
        </w:rPr>
        <w:t>s</w:t>
      </w:r>
      <w:r w:rsidR="00F54DDA" w:rsidRPr="00F54DDA">
        <w:rPr>
          <w:rFonts w:ascii="Arial" w:hAnsi="Arial" w:cs="Arial"/>
          <w:b/>
          <w:sz w:val="22"/>
          <w:szCs w:val="22"/>
        </w:rPr>
        <w:t xml:space="preserve"> </w:t>
      </w:r>
      <w:r w:rsidR="00F54DDA">
        <w:rPr>
          <w:rFonts w:ascii="Arial" w:hAnsi="Arial" w:cs="Arial"/>
          <w:b/>
          <w:sz w:val="22"/>
          <w:szCs w:val="22"/>
        </w:rPr>
        <w:t xml:space="preserve">in </w:t>
      </w:r>
      <w:r w:rsidR="00F54DDA" w:rsidRPr="00F54DDA">
        <w:rPr>
          <w:rFonts w:ascii="Arial" w:hAnsi="Arial" w:cs="Arial"/>
          <w:b/>
          <w:sz w:val="22"/>
          <w:szCs w:val="22"/>
        </w:rPr>
        <w:t xml:space="preserve">key functional groups </w:t>
      </w:r>
      <w:r w:rsidR="003E37F1">
        <w:rPr>
          <w:rFonts w:ascii="Arial" w:hAnsi="Arial" w:cs="Arial"/>
          <w:b/>
          <w:sz w:val="22"/>
          <w:szCs w:val="22"/>
        </w:rPr>
        <w:t xml:space="preserve">in </w:t>
      </w:r>
      <w:bookmarkStart w:id="0" w:name="_GoBack"/>
      <w:bookmarkEnd w:id="0"/>
      <w:r w:rsidR="00F54DDA" w:rsidRPr="00F54DDA">
        <w:rPr>
          <w:rFonts w:ascii="Arial" w:hAnsi="Arial" w:cs="Arial"/>
          <w:b/>
          <w:sz w:val="22"/>
          <w:szCs w:val="22"/>
        </w:rPr>
        <w:t xml:space="preserve">IDH-WT astrocytic tumors. </w:t>
      </w:r>
      <w:r w:rsidR="00F54DDA" w:rsidRPr="00F54DDA">
        <w:rPr>
          <w:rFonts w:ascii="Arial" w:hAnsi="Arial" w:cs="Arial"/>
          <w:sz w:val="22"/>
          <w:szCs w:val="22"/>
        </w:rPr>
        <w:t>Common alteration types in IDH-WT gliomas of astrocytic origin are shown. Bars represent the percentage of samples with the indicated histological grade harboring each alteration. All tumor samples from patients with WHO classification of glioblastoma or diffuse/anaplastic astrocytoma were included. P-values indicate significance from pairwise comparison across grades. N.S. not significant.</w:t>
      </w:r>
    </w:p>
    <w:p w14:paraId="0F8DE43F" w14:textId="4B505673" w:rsidR="00022A4E" w:rsidRDefault="00022A4E" w:rsidP="00022A4E">
      <w:pPr>
        <w:spacing w:line="276" w:lineRule="auto"/>
        <w:rPr>
          <w:rFonts w:ascii="Arial" w:hAnsi="Arial" w:cs="Arial"/>
          <w:sz w:val="22"/>
          <w:szCs w:val="22"/>
        </w:rPr>
      </w:pPr>
    </w:p>
    <w:p w14:paraId="0DE778C0" w14:textId="77777777" w:rsidR="00022A4E" w:rsidRPr="00022A4E" w:rsidRDefault="00242F33" w:rsidP="00022A4E">
      <w:pPr>
        <w:spacing w:line="276" w:lineRule="auto"/>
        <w:rPr>
          <w:rFonts w:ascii="Arial" w:hAnsi="Arial" w:cs="Arial"/>
          <w:sz w:val="22"/>
          <w:szCs w:val="22"/>
        </w:rPr>
      </w:pPr>
      <w:r w:rsidRPr="00242F33">
        <w:rPr>
          <w:rFonts w:ascii="Arial" w:hAnsi="Arial" w:cs="Arial"/>
          <w:b/>
          <w:sz w:val="22"/>
          <w:szCs w:val="22"/>
        </w:rPr>
        <w:t>Figure S8:</w:t>
      </w:r>
      <w:r w:rsidRPr="00242F33">
        <w:rPr>
          <w:rFonts w:ascii="Arial" w:hAnsi="Arial" w:cs="Arial"/>
          <w:sz w:val="22"/>
          <w:szCs w:val="22"/>
        </w:rPr>
        <w:t xml:space="preserve"> </w:t>
      </w:r>
      <w:r w:rsidR="00022A4E" w:rsidRPr="00022A4E">
        <w:rPr>
          <w:rFonts w:ascii="Arial" w:hAnsi="Arial" w:cs="Arial"/>
          <w:b/>
          <w:sz w:val="22"/>
          <w:szCs w:val="22"/>
        </w:rPr>
        <w:t>Cell-cycle alterations and outcome in 1p19q-intact IDH-WT tumors.</w:t>
      </w:r>
      <w:r w:rsidR="00022A4E" w:rsidRPr="00022A4E">
        <w:rPr>
          <w:rFonts w:ascii="Arial" w:hAnsi="Arial" w:cs="Arial"/>
          <w:sz w:val="22"/>
          <w:szCs w:val="22"/>
        </w:rPr>
        <w:t xml:space="preserve"> The prognostic significance of cell-cycle alterations in primary grade II-III 1p19q intact IDH-WT gliomas with regards to </w:t>
      </w:r>
      <w:r w:rsidR="00022A4E" w:rsidRPr="00022A4E">
        <w:rPr>
          <w:rFonts w:ascii="Arial" w:hAnsi="Arial" w:cs="Arial"/>
          <w:b/>
          <w:sz w:val="22"/>
          <w:szCs w:val="22"/>
        </w:rPr>
        <w:t>(A)</w:t>
      </w:r>
      <w:r w:rsidR="00022A4E" w:rsidRPr="00022A4E">
        <w:rPr>
          <w:rFonts w:ascii="Arial" w:hAnsi="Arial" w:cs="Arial"/>
          <w:sz w:val="22"/>
          <w:szCs w:val="22"/>
        </w:rPr>
        <w:t xml:space="preserve"> overall survival, and </w:t>
      </w:r>
      <w:r w:rsidR="00022A4E" w:rsidRPr="00022A4E">
        <w:rPr>
          <w:rFonts w:ascii="Arial" w:hAnsi="Arial" w:cs="Arial"/>
          <w:b/>
          <w:sz w:val="22"/>
          <w:szCs w:val="22"/>
        </w:rPr>
        <w:t>(B)</w:t>
      </w:r>
      <w:r w:rsidR="00022A4E" w:rsidRPr="00022A4E">
        <w:rPr>
          <w:rFonts w:ascii="Arial" w:hAnsi="Arial" w:cs="Arial"/>
          <w:sz w:val="22"/>
          <w:szCs w:val="22"/>
        </w:rPr>
        <w:t xml:space="preserve"> progression-free survival. P-values from log-rank test.</w:t>
      </w:r>
    </w:p>
    <w:p w14:paraId="4477B941" w14:textId="37DBFF8C" w:rsidR="00242F33" w:rsidRPr="00242F33" w:rsidRDefault="00242F33" w:rsidP="00022A4E">
      <w:pPr>
        <w:spacing w:line="276" w:lineRule="auto"/>
        <w:rPr>
          <w:rFonts w:ascii="Arial" w:hAnsi="Arial" w:cs="Arial"/>
          <w:sz w:val="22"/>
          <w:szCs w:val="22"/>
        </w:rPr>
      </w:pPr>
    </w:p>
    <w:p w14:paraId="6D9E54EB" w14:textId="77777777" w:rsidR="00022A4E" w:rsidRPr="00022A4E" w:rsidRDefault="00242F33" w:rsidP="00022A4E">
      <w:pPr>
        <w:spacing w:line="276" w:lineRule="auto"/>
        <w:rPr>
          <w:rFonts w:ascii="Arial" w:hAnsi="Arial" w:cs="Arial"/>
          <w:sz w:val="22"/>
          <w:szCs w:val="22"/>
        </w:rPr>
      </w:pPr>
      <w:r w:rsidRPr="00242F33">
        <w:rPr>
          <w:rFonts w:ascii="Arial" w:hAnsi="Arial" w:cs="Arial"/>
          <w:b/>
          <w:sz w:val="22"/>
          <w:szCs w:val="22"/>
        </w:rPr>
        <w:t>Figure S9:</w:t>
      </w:r>
      <w:r w:rsidRPr="00242F33">
        <w:rPr>
          <w:rFonts w:ascii="Arial" w:hAnsi="Arial" w:cs="Arial"/>
          <w:sz w:val="22"/>
          <w:szCs w:val="22"/>
        </w:rPr>
        <w:t xml:space="preserve"> </w:t>
      </w:r>
      <w:r w:rsidR="00022A4E" w:rsidRPr="00022A4E">
        <w:rPr>
          <w:rFonts w:ascii="Arial" w:hAnsi="Arial" w:cs="Arial"/>
          <w:b/>
          <w:sz w:val="22"/>
          <w:szCs w:val="22"/>
        </w:rPr>
        <w:t>Rate of alkylating therapy-induced hypermutation by WHO class.</w:t>
      </w:r>
      <w:r w:rsidR="00022A4E" w:rsidRPr="00022A4E">
        <w:rPr>
          <w:rFonts w:ascii="Arial" w:hAnsi="Arial" w:cs="Arial"/>
          <w:sz w:val="22"/>
          <w:szCs w:val="22"/>
        </w:rPr>
        <w:t xml:space="preserve"> The frequency of alkylating therapy-induced hypermutation by WHO classification, as a percentage of all sequenced specimens acquired post alkylator treatment. Absolute numbers as indicated.</w:t>
      </w:r>
    </w:p>
    <w:p w14:paraId="49774EBE" w14:textId="77777777" w:rsidR="00022A4E" w:rsidRDefault="00022A4E" w:rsidP="00022A4E">
      <w:pPr>
        <w:spacing w:line="276" w:lineRule="auto"/>
        <w:rPr>
          <w:rFonts w:ascii="Arial" w:hAnsi="Arial" w:cs="Arial"/>
          <w:b/>
          <w:sz w:val="22"/>
          <w:szCs w:val="22"/>
        </w:rPr>
      </w:pPr>
    </w:p>
    <w:p w14:paraId="66A75930" w14:textId="402906F1" w:rsidR="00022A4E" w:rsidRPr="00F54DDA" w:rsidRDefault="00242F33" w:rsidP="00022A4E">
      <w:pPr>
        <w:spacing w:line="276" w:lineRule="auto"/>
        <w:rPr>
          <w:rFonts w:ascii="Arial" w:hAnsi="Arial" w:cs="Arial"/>
          <w:sz w:val="22"/>
          <w:szCs w:val="22"/>
        </w:rPr>
      </w:pPr>
      <w:r w:rsidRPr="00242F33">
        <w:rPr>
          <w:rFonts w:ascii="Arial" w:hAnsi="Arial" w:cs="Arial"/>
          <w:b/>
          <w:sz w:val="22"/>
          <w:szCs w:val="22"/>
        </w:rPr>
        <w:t>Figure S10:</w:t>
      </w:r>
      <w:r w:rsidRPr="00242F33">
        <w:rPr>
          <w:rFonts w:ascii="Arial" w:hAnsi="Arial" w:cs="Arial"/>
          <w:sz w:val="22"/>
          <w:szCs w:val="22"/>
        </w:rPr>
        <w:t xml:space="preserve"> </w:t>
      </w:r>
      <w:r w:rsidR="00F54DDA" w:rsidRPr="00F54DDA">
        <w:rPr>
          <w:rFonts w:ascii="Arial" w:hAnsi="Arial" w:cs="Arial"/>
          <w:b/>
          <w:sz w:val="22"/>
          <w:szCs w:val="22"/>
        </w:rPr>
        <w:t xml:space="preserve">Frequency of actionable alterations. </w:t>
      </w:r>
      <w:r w:rsidR="00F54DDA" w:rsidRPr="00F54DDA">
        <w:rPr>
          <w:rFonts w:ascii="Arial" w:hAnsi="Arial" w:cs="Arial"/>
          <w:sz w:val="22"/>
          <w:szCs w:val="22"/>
        </w:rPr>
        <w:t>Therapeutically actionable alterations across glioma patients with IDH WT and IDH-mutant disease is shown. Bar chart shows highest level of actionability, according to OncoKB curation, detected in any sample from a patient. Pie charts show the most frequently altered and actionable molecular targets in this cohort, as a fraction of the total per subset of IDH-wildtype and -mutant tumors, respectively.</w:t>
      </w:r>
    </w:p>
    <w:p w14:paraId="00FC10DD" w14:textId="77777777" w:rsidR="00F54DDA" w:rsidRDefault="00F54DDA" w:rsidP="00022A4E">
      <w:pPr>
        <w:spacing w:line="276" w:lineRule="auto"/>
        <w:rPr>
          <w:rFonts w:ascii="Arial" w:hAnsi="Arial" w:cs="Arial"/>
          <w:b/>
          <w:sz w:val="22"/>
          <w:szCs w:val="22"/>
        </w:rPr>
      </w:pPr>
    </w:p>
    <w:p w14:paraId="7CB0F096" w14:textId="77777777" w:rsidR="00022A4E" w:rsidRPr="00022A4E" w:rsidRDefault="00242F33" w:rsidP="00022A4E">
      <w:pPr>
        <w:spacing w:line="276" w:lineRule="auto"/>
        <w:rPr>
          <w:rFonts w:ascii="Arial" w:hAnsi="Arial" w:cs="Arial"/>
          <w:sz w:val="22"/>
          <w:szCs w:val="22"/>
        </w:rPr>
      </w:pPr>
      <w:r w:rsidRPr="00242F33">
        <w:rPr>
          <w:rFonts w:ascii="Arial" w:hAnsi="Arial" w:cs="Arial"/>
          <w:b/>
          <w:sz w:val="22"/>
          <w:szCs w:val="22"/>
        </w:rPr>
        <w:t>Figure S11:</w:t>
      </w:r>
      <w:r w:rsidRPr="00242F33">
        <w:rPr>
          <w:rFonts w:ascii="Arial" w:hAnsi="Arial" w:cs="Arial"/>
          <w:sz w:val="22"/>
          <w:szCs w:val="22"/>
        </w:rPr>
        <w:t xml:space="preserve"> </w:t>
      </w:r>
      <w:r w:rsidR="00022A4E" w:rsidRPr="00BA0974">
        <w:rPr>
          <w:rFonts w:ascii="Arial" w:hAnsi="Arial" w:cs="Arial"/>
          <w:b/>
          <w:i/>
          <w:sz w:val="22"/>
          <w:szCs w:val="22"/>
        </w:rPr>
        <w:t>BRAF</w:t>
      </w:r>
      <w:r w:rsidR="00022A4E" w:rsidRPr="00022A4E">
        <w:rPr>
          <w:rFonts w:ascii="Arial" w:hAnsi="Arial" w:cs="Arial"/>
          <w:b/>
          <w:sz w:val="22"/>
          <w:szCs w:val="22"/>
        </w:rPr>
        <w:t xml:space="preserve"> hotspot mutations in glioma.</w:t>
      </w:r>
      <w:r w:rsidR="00022A4E" w:rsidRPr="00022A4E">
        <w:rPr>
          <w:rFonts w:ascii="Arial" w:hAnsi="Arial" w:cs="Arial"/>
          <w:sz w:val="22"/>
          <w:szCs w:val="22"/>
        </w:rPr>
        <w:t xml:space="preserve"> Hotspot mutations in </w:t>
      </w:r>
      <w:r w:rsidR="00022A4E" w:rsidRPr="00022A4E">
        <w:rPr>
          <w:rFonts w:ascii="Arial" w:hAnsi="Arial" w:cs="Arial"/>
          <w:i/>
          <w:sz w:val="22"/>
          <w:szCs w:val="22"/>
        </w:rPr>
        <w:t>BRAF</w:t>
      </w:r>
      <w:r w:rsidR="00022A4E" w:rsidRPr="00022A4E">
        <w:rPr>
          <w:rFonts w:ascii="Arial" w:hAnsi="Arial" w:cs="Arial"/>
          <w:sz w:val="22"/>
          <w:szCs w:val="22"/>
        </w:rPr>
        <w:t xml:space="preserve"> in the study cohort of prospectively sequenced cancer patients (top, MSK cohort) and a collection of glioma samples from public resources (see Methods). Circles represent absolute count of mutations at each protein residue.</w:t>
      </w:r>
    </w:p>
    <w:p w14:paraId="510A1A04" w14:textId="77777777" w:rsidR="00022A4E" w:rsidRDefault="00022A4E" w:rsidP="00022A4E">
      <w:pPr>
        <w:spacing w:line="276" w:lineRule="auto"/>
        <w:rPr>
          <w:rFonts w:ascii="Arial" w:hAnsi="Arial" w:cs="Arial"/>
          <w:b/>
          <w:sz w:val="22"/>
          <w:szCs w:val="22"/>
        </w:rPr>
      </w:pPr>
    </w:p>
    <w:p w14:paraId="028FB3E9" w14:textId="77777777" w:rsidR="00BA0974" w:rsidRPr="00BA0974" w:rsidRDefault="00242F33" w:rsidP="00BA0974">
      <w:pPr>
        <w:spacing w:line="276" w:lineRule="auto"/>
        <w:rPr>
          <w:rFonts w:ascii="Arial" w:hAnsi="Arial" w:cs="Arial"/>
          <w:sz w:val="22"/>
          <w:szCs w:val="22"/>
        </w:rPr>
      </w:pPr>
      <w:r w:rsidRPr="00242F33">
        <w:rPr>
          <w:rFonts w:ascii="Arial" w:hAnsi="Arial" w:cs="Arial"/>
          <w:b/>
          <w:sz w:val="22"/>
          <w:szCs w:val="22"/>
        </w:rPr>
        <w:t>Figure S12:</w:t>
      </w:r>
      <w:r w:rsidRPr="00242F33">
        <w:rPr>
          <w:rFonts w:ascii="Arial" w:hAnsi="Arial" w:cs="Arial"/>
          <w:sz w:val="22"/>
          <w:szCs w:val="22"/>
        </w:rPr>
        <w:t xml:space="preserve"> </w:t>
      </w:r>
      <w:r w:rsidR="00BA0974" w:rsidRPr="00BA0974">
        <w:rPr>
          <w:rFonts w:ascii="Arial" w:hAnsi="Arial" w:cs="Arial"/>
          <w:b/>
          <w:sz w:val="22"/>
          <w:szCs w:val="22"/>
        </w:rPr>
        <w:t xml:space="preserve">MR brain images for three patients receiving MAPK-directed therapy. </w:t>
      </w:r>
      <w:r w:rsidR="00BA0974" w:rsidRPr="00BA0974">
        <w:rPr>
          <w:rFonts w:ascii="Arial" w:hAnsi="Arial" w:cs="Arial"/>
          <w:sz w:val="22"/>
          <w:szCs w:val="22"/>
        </w:rPr>
        <w:t xml:space="preserve">Pre-treatment and on/post-treatment imaging from patients on MAPK-directed therapy. Numbers indicating patients as in </w:t>
      </w:r>
      <w:r w:rsidR="00BA0974" w:rsidRPr="00BA0974">
        <w:rPr>
          <w:rFonts w:ascii="Arial" w:hAnsi="Arial" w:cs="Arial"/>
          <w:b/>
          <w:sz w:val="22"/>
          <w:szCs w:val="22"/>
        </w:rPr>
        <w:t>Fig. 4C</w:t>
      </w:r>
      <w:r w:rsidR="00BA0974" w:rsidRPr="00BA0974">
        <w:rPr>
          <w:rFonts w:ascii="Arial" w:hAnsi="Arial" w:cs="Arial"/>
          <w:sz w:val="22"/>
          <w:szCs w:val="22"/>
        </w:rPr>
        <w:t>, ordered from the top.</w:t>
      </w:r>
    </w:p>
    <w:p w14:paraId="44EF6449" w14:textId="5863AA78" w:rsidR="006A10D2" w:rsidRDefault="006A10D2" w:rsidP="00022A4E">
      <w:pPr>
        <w:spacing w:line="276" w:lineRule="auto"/>
        <w:rPr>
          <w:rFonts w:ascii="Arial" w:hAnsi="Arial" w:cs="Arial"/>
          <w:b/>
          <w:sz w:val="22"/>
          <w:szCs w:val="22"/>
        </w:rPr>
      </w:pPr>
    </w:p>
    <w:sectPr w:rsidR="006A10D2" w:rsidSect="003E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linical Cancer Researc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wtrpez9vwvane0r9px2aptwfszf95f0zd0&quot;&gt;glioma-manuscript&lt;record-ids&gt;&lt;item&gt;50&lt;/item&gt;&lt;/record-ids&gt;&lt;/item&gt;&lt;/Libraries&gt;"/>
  </w:docVars>
  <w:rsids>
    <w:rsidRoot w:val="003C7238"/>
    <w:rsid w:val="0002243F"/>
    <w:rsid w:val="00022A4E"/>
    <w:rsid w:val="00053459"/>
    <w:rsid w:val="000851B7"/>
    <w:rsid w:val="000C4D9A"/>
    <w:rsid w:val="000C68F2"/>
    <w:rsid w:val="000E28C9"/>
    <w:rsid w:val="000F02C2"/>
    <w:rsid w:val="001077E3"/>
    <w:rsid w:val="00116741"/>
    <w:rsid w:val="00125F9A"/>
    <w:rsid w:val="001C3877"/>
    <w:rsid w:val="00231397"/>
    <w:rsid w:val="00242F33"/>
    <w:rsid w:val="00244124"/>
    <w:rsid w:val="0025041D"/>
    <w:rsid w:val="002506E6"/>
    <w:rsid w:val="00264540"/>
    <w:rsid w:val="002761DB"/>
    <w:rsid w:val="00287B81"/>
    <w:rsid w:val="002F75E8"/>
    <w:rsid w:val="00334FC3"/>
    <w:rsid w:val="00361C35"/>
    <w:rsid w:val="00363A72"/>
    <w:rsid w:val="003669CD"/>
    <w:rsid w:val="003B1C51"/>
    <w:rsid w:val="003C7238"/>
    <w:rsid w:val="003E37F1"/>
    <w:rsid w:val="003E505B"/>
    <w:rsid w:val="00407A7C"/>
    <w:rsid w:val="004519D2"/>
    <w:rsid w:val="004A2E43"/>
    <w:rsid w:val="004D11EA"/>
    <w:rsid w:val="004D3FFA"/>
    <w:rsid w:val="004F427C"/>
    <w:rsid w:val="00554E96"/>
    <w:rsid w:val="005607C4"/>
    <w:rsid w:val="00594205"/>
    <w:rsid w:val="005D18B8"/>
    <w:rsid w:val="005F4B7D"/>
    <w:rsid w:val="006009F5"/>
    <w:rsid w:val="00695A6F"/>
    <w:rsid w:val="006A10D2"/>
    <w:rsid w:val="006D2B74"/>
    <w:rsid w:val="007361B0"/>
    <w:rsid w:val="0078402E"/>
    <w:rsid w:val="007B743C"/>
    <w:rsid w:val="007D69A2"/>
    <w:rsid w:val="00802B72"/>
    <w:rsid w:val="008518BF"/>
    <w:rsid w:val="008633EA"/>
    <w:rsid w:val="00877A65"/>
    <w:rsid w:val="008D7045"/>
    <w:rsid w:val="00976129"/>
    <w:rsid w:val="009B7FB6"/>
    <w:rsid w:val="009C4FF2"/>
    <w:rsid w:val="00A2083A"/>
    <w:rsid w:val="00A34BDA"/>
    <w:rsid w:val="00A4601F"/>
    <w:rsid w:val="00A86DA8"/>
    <w:rsid w:val="00AD41B0"/>
    <w:rsid w:val="00B06B40"/>
    <w:rsid w:val="00B20187"/>
    <w:rsid w:val="00B6585C"/>
    <w:rsid w:val="00B75E82"/>
    <w:rsid w:val="00BA0974"/>
    <w:rsid w:val="00BA601B"/>
    <w:rsid w:val="00BA78BA"/>
    <w:rsid w:val="00BC0A43"/>
    <w:rsid w:val="00C05726"/>
    <w:rsid w:val="00C21B5D"/>
    <w:rsid w:val="00C244B9"/>
    <w:rsid w:val="00C7554F"/>
    <w:rsid w:val="00CB5E4E"/>
    <w:rsid w:val="00D1731D"/>
    <w:rsid w:val="00DD47E6"/>
    <w:rsid w:val="00DE021A"/>
    <w:rsid w:val="00E20384"/>
    <w:rsid w:val="00E84FAD"/>
    <w:rsid w:val="00EB66B1"/>
    <w:rsid w:val="00EF48A9"/>
    <w:rsid w:val="00F35516"/>
    <w:rsid w:val="00F40126"/>
    <w:rsid w:val="00F54DDA"/>
    <w:rsid w:val="00F56122"/>
    <w:rsid w:val="00F65882"/>
    <w:rsid w:val="00F71CCD"/>
    <w:rsid w:val="00F742E1"/>
    <w:rsid w:val="00FA11D7"/>
    <w:rsid w:val="00FA60C1"/>
    <w:rsid w:val="00FA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8CA8"/>
  <w14:defaultImageDpi w14:val="32767"/>
  <w15:chartTrackingRefBased/>
  <w15:docId w15:val="{BD1D358E-CC23-814C-8E38-D2EEA223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A10D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6A10D2"/>
    <w:rPr>
      <w:rFonts w:ascii="Calibri" w:hAnsi="Calibri" w:cs="Calibri"/>
    </w:rPr>
  </w:style>
  <w:style w:type="paragraph" w:customStyle="1" w:styleId="EndNoteBibliography">
    <w:name w:val="EndNote Bibliography"/>
    <w:basedOn w:val="Normal"/>
    <w:link w:val="EndNoteBibliographyChar"/>
    <w:rsid w:val="006A10D2"/>
    <w:rPr>
      <w:rFonts w:ascii="Calibri" w:hAnsi="Calibri" w:cs="Calibri"/>
    </w:rPr>
  </w:style>
  <w:style w:type="character" w:customStyle="1" w:styleId="EndNoteBibliographyChar">
    <w:name w:val="EndNote Bibliography Char"/>
    <w:basedOn w:val="DefaultParagraphFont"/>
    <w:link w:val="EndNoteBibliography"/>
    <w:rsid w:val="006A10D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Jonsson</dc:creator>
  <cp:keywords/>
  <dc:description/>
  <cp:lastModifiedBy>Philip Jonsson</cp:lastModifiedBy>
  <cp:revision>11</cp:revision>
  <dcterms:created xsi:type="dcterms:W3CDTF">2019-01-04T19:01:00Z</dcterms:created>
  <dcterms:modified xsi:type="dcterms:W3CDTF">2019-05-19T19:12:00Z</dcterms:modified>
</cp:coreProperties>
</file>