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16135" w14:textId="77777777" w:rsidR="00EB25D0" w:rsidRPr="0000681D" w:rsidRDefault="00EB25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rPr>
          <w:b/>
        </w:rPr>
      </w:pPr>
    </w:p>
    <w:p w14:paraId="356AFB6E" w14:textId="599CCE20" w:rsidR="002A7D41" w:rsidRPr="0000681D" w:rsidRDefault="00262E87" w:rsidP="00EE4868">
      <w:pPr>
        <w:spacing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F9C8C3F" wp14:editId="628D04E8">
            <wp:extent cx="2621373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14 at 1.11.0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7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883F" w14:textId="77777777" w:rsidR="002A7D41" w:rsidRPr="0000681D" w:rsidRDefault="002A7D41" w:rsidP="00EE4868">
      <w:pPr>
        <w:spacing w:line="240" w:lineRule="auto"/>
        <w:jc w:val="center"/>
        <w:rPr>
          <w:b/>
        </w:rPr>
      </w:pPr>
    </w:p>
    <w:p w14:paraId="0143B833" w14:textId="321D2CAA" w:rsidR="002A7D41" w:rsidRPr="0000681D" w:rsidRDefault="0000681D" w:rsidP="00EE4868">
      <w:pPr>
        <w:spacing w:line="240" w:lineRule="auto"/>
      </w:pPr>
      <w:r>
        <w:rPr>
          <w:b/>
        </w:rPr>
        <w:t>Figure S1</w:t>
      </w:r>
      <w:r w:rsidR="002A7D41" w:rsidRPr="0000681D">
        <w:rPr>
          <w:b/>
        </w:rPr>
        <w:t>. Distribution of systemic therapies received.</w:t>
      </w:r>
      <w:r w:rsidR="002A7D41" w:rsidRPr="0000681D">
        <w:t xml:space="preserve"> </w:t>
      </w:r>
      <w:r w:rsidR="002A7D41" w:rsidRPr="0000681D">
        <w:rPr>
          <w:b/>
        </w:rPr>
        <w:t xml:space="preserve">A) </w:t>
      </w:r>
      <w:r w:rsidR="002A7D41" w:rsidRPr="0000681D">
        <w:t xml:space="preserve">The number of patients in cohort that received the indicated systemic therapies at any point during their clinical history, prior to cohort data freeze. </w:t>
      </w:r>
      <w:r w:rsidR="002A7D41" w:rsidRPr="008F2D3A">
        <w:t xml:space="preserve">Treatment lines </w:t>
      </w:r>
      <w:r w:rsidR="002A7D41" w:rsidRPr="00AA5E33">
        <w:t>were only considered molecularly targeted if</w:t>
      </w:r>
      <w:r w:rsidR="002A7D41" w:rsidRPr="0000681D">
        <w:t xml:space="preserve"> administered based on the presence of </w:t>
      </w:r>
      <w:r w:rsidR="008F2D3A" w:rsidRPr="008F2D3A">
        <w:t>a genetic alteration in the drug target or the signaling pathway targeted by th</w:t>
      </w:r>
      <w:r w:rsidR="008F2D3A">
        <w:t>e</w:t>
      </w:r>
      <w:r w:rsidR="008F2D3A" w:rsidRPr="008F2D3A" w:rsidDel="008F2D3A">
        <w:t xml:space="preserve"> </w:t>
      </w:r>
      <w:r w:rsidR="008F2D3A">
        <w:t xml:space="preserve">drug </w:t>
      </w:r>
      <w:r w:rsidR="002A7D41" w:rsidRPr="0000681D">
        <w:t xml:space="preserve">in a molecularly characterized patient specimen. </w:t>
      </w:r>
      <w:r w:rsidR="002A7D41" w:rsidRPr="0000681D">
        <w:rPr>
          <w:b/>
        </w:rPr>
        <w:t>B)</w:t>
      </w:r>
      <w:r w:rsidR="002A7D41" w:rsidRPr="0000681D">
        <w:t xml:space="preserve"> Breakdown of the number of patients that received specified chemotherapeutic agent.</w:t>
      </w:r>
      <w:r w:rsidR="002A7D41" w:rsidRPr="0000681D">
        <w:br w:type="page"/>
      </w:r>
    </w:p>
    <w:p w14:paraId="1DFE31CE" w14:textId="77777777" w:rsidR="002A7D41" w:rsidRPr="0000681D" w:rsidRDefault="002A7D41" w:rsidP="00EE4868">
      <w:pPr>
        <w:spacing w:line="240" w:lineRule="auto"/>
        <w:jc w:val="center"/>
        <w:rPr>
          <w:b/>
        </w:rPr>
      </w:pPr>
      <w:r w:rsidRPr="0000681D">
        <w:rPr>
          <w:b/>
          <w:noProof/>
        </w:rPr>
        <w:lastRenderedPageBreak/>
        <w:drawing>
          <wp:inline distT="0" distB="0" distL="0" distR="0" wp14:anchorId="59397330" wp14:editId="0C04CB76">
            <wp:extent cx="1520744" cy="1875415"/>
            <wp:effectExtent l="0" t="0" r="381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8-06 at 2.33.38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4"/>
                    <a:stretch/>
                  </pic:blipFill>
                  <pic:spPr bwMode="auto">
                    <a:xfrm>
                      <a:off x="0" y="0"/>
                      <a:ext cx="1521312" cy="187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64EF" w14:textId="77777777" w:rsidR="00EB25D0" w:rsidRPr="0000681D" w:rsidRDefault="00EB25D0" w:rsidP="00EE4868">
      <w:pPr>
        <w:spacing w:line="240" w:lineRule="auto"/>
        <w:jc w:val="center"/>
        <w:rPr>
          <w:b/>
        </w:rPr>
      </w:pPr>
    </w:p>
    <w:p w14:paraId="3831F38A" w14:textId="77777777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00681D">
        <w:rPr>
          <w:b/>
        </w:rPr>
        <w:t>S</w:t>
      </w:r>
      <w:r w:rsidRPr="0000681D">
        <w:rPr>
          <w:b/>
        </w:rPr>
        <w:t xml:space="preserve">2. Number of sequenced samples per patient. </w:t>
      </w:r>
      <w:r w:rsidRPr="0000681D">
        <w:t>The percentage of patients in the cohort for which the indicated number of surgical specimens were sequenced is shown. The absolute numbers are indicated.</w:t>
      </w:r>
    </w:p>
    <w:p w14:paraId="6F58B4AB" w14:textId="77777777" w:rsidR="002A7D41" w:rsidRPr="0000681D" w:rsidRDefault="002A7D41" w:rsidP="00EE48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</w:pPr>
      <w:r w:rsidRPr="0000681D">
        <w:br w:type="page"/>
      </w:r>
    </w:p>
    <w:p w14:paraId="39180586" w14:textId="77777777" w:rsidR="002A7D41" w:rsidRPr="0000681D" w:rsidRDefault="00101FA4" w:rsidP="00EE4868">
      <w:pPr>
        <w:spacing w:line="240" w:lineRule="auto"/>
        <w:jc w:val="center"/>
      </w:pPr>
      <w:r w:rsidRPr="0000681D">
        <w:rPr>
          <w:noProof/>
        </w:rPr>
        <w:lastRenderedPageBreak/>
        <w:drawing>
          <wp:inline distT="0" distB="0" distL="0" distR="0" wp14:anchorId="2EFE2B3C" wp14:editId="67CD6D91">
            <wp:extent cx="4187952" cy="4419274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8 at 6.21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44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B3D4" w14:textId="77777777" w:rsidR="002A7D41" w:rsidRPr="0000681D" w:rsidRDefault="002A7D41" w:rsidP="00EE4868">
      <w:pPr>
        <w:spacing w:line="240" w:lineRule="auto"/>
      </w:pPr>
    </w:p>
    <w:p w14:paraId="2237B72A" w14:textId="5CE707CC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00681D">
        <w:rPr>
          <w:b/>
        </w:rPr>
        <w:t>S</w:t>
      </w:r>
      <w:r w:rsidRPr="0000681D">
        <w:rPr>
          <w:b/>
        </w:rPr>
        <w:t xml:space="preserve">3. </w:t>
      </w:r>
      <w:r w:rsidR="008F2D3A">
        <w:rPr>
          <w:b/>
        </w:rPr>
        <w:t>Subgroup-defining</w:t>
      </w:r>
      <w:r w:rsidR="008F2D3A" w:rsidRPr="0000681D">
        <w:rPr>
          <w:b/>
        </w:rPr>
        <w:t xml:space="preserve"> </w:t>
      </w:r>
      <w:r w:rsidRPr="0000681D">
        <w:rPr>
          <w:b/>
        </w:rPr>
        <w:t>genomic lesions in IDH</w:t>
      </w:r>
      <w:r w:rsidR="008F2D3A">
        <w:rPr>
          <w:b/>
        </w:rPr>
        <w:t xml:space="preserve">-wildtype </w:t>
      </w:r>
      <w:r w:rsidRPr="0000681D">
        <w:rPr>
          <w:b/>
        </w:rPr>
        <w:t xml:space="preserve">and </w:t>
      </w:r>
      <w:r w:rsidR="008F2D3A">
        <w:rPr>
          <w:b/>
        </w:rPr>
        <w:t>-</w:t>
      </w:r>
      <w:r w:rsidRPr="0000681D">
        <w:rPr>
          <w:b/>
        </w:rPr>
        <w:t>mutant gliomas.</w:t>
      </w:r>
      <w:r w:rsidRPr="0000681D">
        <w:t xml:space="preserve"> The frequency and pattern of cardinal genomic alterations in IDH-WT (top) and IDH-mutant (bottom) gliomas in this cohort.</w:t>
      </w:r>
      <w:r w:rsidRPr="0000681D">
        <w:br w:type="page"/>
      </w:r>
    </w:p>
    <w:p w14:paraId="4E7A965B" w14:textId="0780F33E" w:rsidR="002A7D41" w:rsidRPr="0000681D" w:rsidRDefault="003403D4" w:rsidP="00EE4868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90037E2" wp14:editId="6CC1977C">
            <wp:extent cx="2666612" cy="491947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14 at 1.45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12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0191" w14:textId="77777777" w:rsidR="002A7D41" w:rsidRPr="0000681D" w:rsidRDefault="002A7D41" w:rsidP="00EE4868">
      <w:pPr>
        <w:spacing w:line="240" w:lineRule="auto"/>
        <w:jc w:val="center"/>
      </w:pPr>
    </w:p>
    <w:p w14:paraId="6C33EFB7" w14:textId="2EB4347E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00681D">
        <w:rPr>
          <w:b/>
        </w:rPr>
        <w:t>S</w:t>
      </w:r>
      <w:r w:rsidR="00D82F63">
        <w:rPr>
          <w:b/>
        </w:rPr>
        <w:t xml:space="preserve">4. Frequency of mutations in </w:t>
      </w:r>
      <w:r w:rsidRPr="0000681D">
        <w:rPr>
          <w:b/>
        </w:rPr>
        <w:t>primary tumor</w:t>
      </w:r>
      <w:r w:rsidR="00D82F63">
        <w:rPr>
          <w:b/>
        </w:rPr>
        <w:t>s</w:t>
      </w:r>
      <w:r w:rsidRPr="0000681D">
        <w:rPr>
          <w:b/>
        </w:rPr>
        <w:t xml:space="preserve">. </w:t>
      </w:r>
      <w:r w:rsidRPr="0000681D">
        <w:t xml:space="preserve">The frequency of mutations in the primary tumors of the study cohort (MSK) compared to those profiled by The Cancer Genome Atlas (TCGA) LGG and GBM cohorts. </w:t>
      </w:r>
      <w:r w:rsidRPr="0000681D">
        <w:rPr>
          <w:b/>
        </w:rPr>
        <w:t>A)</w:t>
      </w:r>
      <w:r w:rsidRPr="0000681D">
        <w:t xml:space="preserve"> </w:t>
      </w:r>
      <w:r w:rsidR="00D82F63">
        <w:t>WHO</w:t>
      </w:r>
      <w:r w:rsidR="00D82F63" w:rsidRPr="0000681D">
        <w:t xml:space="preserve"> </w:t>
      </w:r>
      <w:r w:rsidRPr="0000681D">
        <w:t xml:space="preserve">grade IV IDH-WT tumors. </w:t>
      </w:r>
      <w:r w:rsidRPr="0000681D">
        <w:rPr>
          <w:b/>
        </w:rPr>
        <w:t>B)</w:t>
      </w:r>
      <w:r w:rsidRPr="0000681D">
        <w:t xml:space="preserve"> </w:t>
      </w:r>
      <w:r w:rsidR="00D82F63">
        <w:t>WHO</w:t>
      </w:r>
      <w:r w:rsidR="00D82F63" w:rsidRPr="0000681D">
        <w:t xml:space="preserve"> </w:t>
      </w:r>
      <w:r w:rsidRPr="0000681D">
        <w:t xml:space="preserve">grade II-III IDH-WT tumors. </w:t>
      </w:r>
      <w:r w:rsidRPr="0000681D">
        <w:rPr>
          <w:b/>
        </w:rPr>
        <w:t>c)</w:t>
      </w:r>
      <w:r w:rsidRPr="0000681D">
        <w:t xml:space="preserve"> </w:t>
      </w:r>
      <w:r w:rsidR="00D82F63">
        <w:t>WHO</w:t>
      </w:r>
      <w:r w:rsidR="00D82F63" w:rsidRPr="0000681D">
        <w:t xml:space="preserve"> </w:t>
      </w:r>
      <w:r w:rsidRPr="0000681D">
        <w:t xml:space="preserve">grade II-IV IDH-mutant tumors. Asterisks indicate significant differences, </w:t>
      </w:r>
      <w:r w:rsidRPr="0000681D">
        <w:rPr>
          <w:i/>
        </w:rPr>
        <w:t>P</w:t>
      </w:r>
      <w:r w:rsidRPr="0000681D">
        <w:t xml:space="preserve">&lt; 0.1. Alterations shown if they occur in at least 10% </w:t>
      </w:r>
      <w:r w:rsidR="005C439D">
        <w:t xml:space="preserve">or 5% </w:t>
      </w:r>
      <w:r w:rsidRPr="0000681D">
        <w:t>of either cohort</w:t>
      </w:r>
      <w:r w:rsidR="005C439D">
        <w:t xml:space="preserve"> in </w:t>
      </w:r>
      <w:r w:rsidR="005C439D" w:rsidRPr="005C439D">
        <w:rPr>
          <w:b/>
        </w:rPr>
        <w:t>A</w:t>
      </w:r>
      <w:r w:rsidR="005C439D">
        <w:t xml:space="preserve">, </w:t>
      </w:r>
      <w:r w:rsidR="005C439D" w:rsidRPr="005C439D">
        <w:rPr>
          <w:b/>
        </w:rPr>
        <w:t>B</w:t>
      </w:r>
      <w:r w:rsidR="005C439D">
        <w:t xml:space="preserve"> or </w:t>
      </w:r>
      <w:r w:rsidR="005C439D" w:rsidRPr="005C439D">
        <w:rPr>
          <w:b/>
        </w:rPr>
        <w:t>C</w:t>
      </w:r>
      <w:r w:rsidR="005C439D">
        <w:t>, respectively</w:t>
      </w:r>
      <w:r w:rsidR="0000681D">
        <w:t>.</w:t>
      </w:r>
    </w:p>
    <w:p w14:paraId="1F8029BB" w14:textId="77777777" w:rsidR="002A7D41" w:rsidRPr="0000681D" w:rsidRDefault="002A7D41" w:rsidP="00EE4868">
      <w:pPr>
        <w:spacing w:line="240" w:lineRule="auto"/>
      </w:pPr>
      <w:r w:rsidRPr="0000681D">
        <w:br w:type="page"/>
      </w:r>
    </w:p>
    <w:p w14:paraId="12CDB44B" w14:textId="1DF5ED54" w:rsidR="002A7D41" w:rsidRPr="0000681D" w:rsidRDefault="003403D4" w:rsidP="00EE4868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E9E7712" wp14:editId="2DD914EC">
            <wp:extent cx="3935460" cy="213969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4 at 1.59.2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6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E0D" w14:textId="77777777" w:rsidR="002A7D41" w:rsidRPr="0000681D" w:rsidRDefault="002A7D41" w:rsidP="00EE4868">
      <w:pPr>
        <w:spacing w:line="240" w:lineRule="auto"/>
      </w:pPr>
    </w:p>
    <w:p w14:paraId="6CE13A63" w14:textId="77777777" w:rsidR="002A7D41" w:rsidRPr="0000681D" w:rsidRDefault="002A7D41" w:rsidP="00EE4868">
      <w:pPr>
        <w:spacing w:line="240" w:lineRule="auto"/>
      </w:pPr>
      <w:r w:rsidRPr="008F2D3A">
        <w:rPr>
          <w:b/>
        </w:rPr>
        <w:t xml:space="preserve">Figure </w:t>
      </w:r>
      <w:r w:rsidR="00BC3316" w:rsidRPr="00AA5E33">
        <w:rPr>
          <w:b/>
        </w:rPr>
        <w:t>S</w:t>
      </w:r>
      <w:r w:rsidRPr="00AA5E33">
        <w:rPr>
          <w:b/>
        </w:rPr>
        <w:t>5. Frequency of glioma type-defining genes.</w:t>
      </w:r>
      <w:r w:rsidRPr="00AA5E33">
        <w:t xml:space="preserve"> The rate of mutations in glioma type-defining genes (</w:t>
      </w:r>
      <w:r w:rsidRPr="00AA5E33">
        <w:rPr>
          <w:i/>
        </w:rPr>
        <w:t>CIC</w:t>
      </w:r>
      <w:r w:rsidRPr="00AA5E33">
        <w:t xml:space="preserve">, </w:t>
      </w:r>
      <w:r w:rsidRPr="00AA5E33">
        <w:rPr>
          <w:i/>
        </w:rPr>
        <w:t>FUBP1</w:t>
      </w:r>
      <w:r w:rsidRPr="00AA5E33">
        <w:t xml:space="preserve"> and </w:t>
      </w:r>
      <w:r w:rsidRPr="00AA5E33">
        <w:rPr>
          <w:i/>
        </w:rPr>
        <w:t>TERT</w:t>
      </w:r>
      <w:r w:rsidRPr="00AA5E33">
        <w:t xml:space="preserve"> promoter for 1p19q co-deleted tumors; </w:t>
      </w:r>
      <w:r w:rsidRPr="00AA5E33">
        <w:rPr>
          <w:i/>
        </w:rPr>
        <w:t>ATRX</w:t>
      </w:r>
      <w:r w:rsidRPr="00AA5E33">
        <w:t xml:space="preserve"> and </w:t>
      </w:r>
      <w:r w:rsidRPr="00AA5E33">
        <w:rPr>
          <w:i/>
        </w:rPr>
        <w:t>TP53</w:t>
      </w:r>
      <w:r w:rsidRPr="00AA5E33">
        <w:t xml:space="preserve"> for 1p19q intact tumors), cell-cycle genes, and PI3K/AKT, or RTK-RAS pathway genes. Mutation rates are shown across the three types of IDH-mutant gliomas: grade II/III co-deleted tumors, grade II/III 1p19q intact tumors, and grade IV 1p19q intact tumors, stratified by enhancement. Asterisks indicate </w:t>
      </w:r>
      <w:r w:rsidRPr="00AA5E33">
        <w:rPr>
          <w:i/>
        </w:rPr>
        <w:t>P</w:t>
      </w:r>
      <w:r w:rsidRPr="00AA5E33">
        <w:t>&lt;0.05 from Fisher’s exact test, N.S. not significant</w:t>
      </w:r>
      <w:r w:rsidRPr="008F2D3A">
        <w:t>.</w:t>
      </w:r>
    </w:p>
    <w:p w14:paraId="1789D6F0" w14:textId="77777777" w:rsidR="002A7D41" w:rsidRPr="0000681D" w:rsidRDefault="002A7D41" w:rsidP="00EE4868">
      <w:pPr>
        <w:spacing w:line="240" w:lineRule="auto"/>
      </w:pPr>
      <w:r w:rsidRPr="0000681D">
        <w:br w:type="page"/>
      </w:r>
    </w:p>
    <w:p w14:paraId="1E07691D" w14:textId="77777777" w:rsidR="002A7D41" w:rsidRPr="0000681D" w:rsidRDefault="002A7D41" w:rsidP="00EE4868">
      <w:pPr>
        <w:spacing w:line="240" w:lineRule="auto"/>
        <w:jc w:val="center"/>
      </w:pPr>
      <w:r w:rsidRPr="0000681D">
        <w:rPr>
          <w:noProof/>
        </w:rPr>
        <w:lastRenderedPageBreak/>
        <w:drawing>
          <wp:inline distT="0" distB="0" distL="0" distR="0" wp14:anchorId="2726DE3B" wp14:editId="19283B7A">
            <wp:extent cx="3779726" cy="193347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8-06 at 2.36.5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726" cy="19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2A8" w14:textId="77777777" w:rsidR="00EB25D0" w:rsidRPr="0000681D" w:rsidRDefault="00EB25D0" w:rsidP="00EE4868">
      <w:pPr>
        <w:spacing w:line="240" w:lineRule="auto"/>
        <w:jc w:val="center"/>
      </w:pPr>
    </w:p>
    <w:p w14:paraId="6067B7B1" w14:textId="202B9E07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BC3316">
        <w:rPr>
          <w:b/>
        </w:rPr>
        <w:t>S</w:t>
      </w:r>
      <w:r w:rsidRPr="0000681D">
        <w:rPr>
          <w:b/>
        </w:rPr>
        <w:t>6. Outcome by cell</w:t>
      </w:r>
      <w:r w:rsidR="00D679D4">
        <w:rPr>
          <w:b/>
        </w:rPr>
        <w:t>-</w:t>
      </w:r>
      <w:r w:rsidRPr="0000681D">
        <w:rPr>
          <w:b/>
        </w:rPr>
        <w:t>cycle alteration status.</w:t>
      </w:r>
      <w:r w:rsidRPr="0000681D">
        <w:t xml:space="preserve"> </w:t>
      </w:r>
      <w:r w:rsidRPr="0000681D">
        <w:rPr>
          <w:b/>
        </w:rPr>
        <w:t>A)</w:t>
      </w:r>
      <w:r w:rsidRPr="0000681D">
        <w:t xml:space="preserve"> In </w:t>
      </w:r>
      <w:r w:rsidR="004839B1">
        <w:t xml:space="preserve">patients with </w:t>
      </w:r>
      <w:r w:rsidRPr="0000681D">
        <w:t xml:space="preserve">IDH-mutant 1p19q intact tumors, overall survival from the time of recurrent surgery is significantly shorter in patients whose recurrence exhibit pre-operative MRI enhancement and whose tumors harbored a cell-cycle alteration. In multivariate models of </w:t>
      </w:r>
      <w:r w:rsidRPr="0000681D">
        <w:rPr>
          <w:b/>
        </w:rPr>
        <w:t xml:space="preserve">(B) </w:t>
      </w:r>
      <w:r w:rsidRPr="0000681D">
        <w:t xml:space="preserve">progression-free and </w:t>
      </w:r>
      <w:r w:rsidRPr="0000681D">
        <w:rPr>
          <w:b/>
        </w:rPr>
        <w:t>(C)</w:t>
      </w:r>
      <w:r w:rsidRPr="0000681D">
        <w:t xml:space="preserve"> overall survival in (</w:t>
      </w:r>
      <w:r w:rsidRPr="0000681D">
        <w:rPr>
          <w:b/>
        </w:rPr>
        <w:t>Fig. 2E</w:t>
      </w:r>
      <w:r w:rsidRPr="0000681D">
        <w:t xml:space="preserve"> and panel </w:t>
      </w:r>
      <w:r w:rsidRPr="0000681D">
        <w:rPr>
          <w:b/>
        </w:rPr>
        <w:t>(A)</w:t>
      </w:r>
      <w:r w:rsidRPr="0000681D">
        <w:t>, respectively), MRI enhancement and cell-cycle mutations are independently associated with worse outcome.</w:t>
      </w:r>
    </w:p>
    <w:p w14:paraId="05FEF824" w14:textId="77777777" w:rsidR="002A7D41" w:rsidRPr="0000681D" w:rsidRDefault="002A7D41" w:rsidP="00EE4868">
      <w:pPr>
        <w:spacing w:line="240" w:lineRule="auto"/>
      </w:pPr>
      <w:r w:rsidRPr="0000681D">
        <w:br w:type="page"/>
      </w:r>
    </w:p>
    <w:p w14:paraId="218233B4" w14:textId="7A91BBDF" w:rsidR="002A7D41" w:rsidRPr="0000681D" w:rsidRDefault="00725BE9" w:rsidP="00EE4868">
      <w:pPr>
        <w:spacing w:line="240" w:lineRule="auto"/>
        <w:jc w:val="center"/>
      </w:pPr>
      <w:r>
        <w:rPr>
          <w:noProof/>
        </w:rPr>
        <w:lastRenderedPageBreak/>
        <w:pict w14:anchorId="038DB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alt="" style="width:2.95pt;height:7.1pt;visibility:visible;mso-wrap-style:square;mso-width-percent:0;mso-height-percent:0;mso-width-percent:0;mso-height-percent:0">
            <v:imagedata r:id="rId10" o:title=""/>
          </v:shape>
        </w:pict>
      </w:r>
      <w:r w:rsidR="00DA68D5">
        <w:rPr>
          <w:noProof/>
        </w:rPr>
        <w:drawing>
          <wp:inline distT="0" distB="0" distL="0" distR="0" wp14:anchorId="43E1533F" wp14:editId="028EA9DE">
            <wp:extent cx="3114417" cy="2185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14 at 2.22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17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3D4" w14:textId="77777777" w:rsidR="00EB25D0" w:rsidRPr="0000681D" w:rsidRDefault="00EB25D0" w:rsidP="00EE4868">
      <w:pPr>
        <w:spacing w:line="240" w:lineRule="auto"/>
        <w:jc w:val="center"/>
      </w:pPr>
    </w:p>
    <w:p w14:paraId="5A64E1C6" w14:textId="40B492C0" w:rsidR="002A7D41" w:rsidRPr="0000681D" w:rsidRDefault="00BC3316" w:rsidP="00EE4868">
      <w:pPr>
        <w:spacing w:line="240" w:lineRule="auto"/>
      </w:pPr>
      <w:r>
        <w:rPr>
          <w:b/>
        </w:rPr>
        <w:t>F</w:t>
      </w:r>
      <w:r w:rsidR="002A7D41" w:rsidRPr="0000681D">
        <w:rPr>
          <w:b/>
        </w:rPr>
        <w:t xml:space="preserve">igure </w:t>
      </w:r>
      <w:r>
        <w:rPr>
          <w:b/>
        </w:rPr>
        <w:t>S</w:t>
      </w:r>
      <w:r w:rsidR="002A7D41" w:rsidRPr="0000681D">
        <w:rPr>
          <w:b/>
        </w:rPr>
        <w:t>7. Alteration</w:t>
      </w:r>
      <w:r w:rsidR="00D53FD6">
        <w:rPr>
          <w:b/>
        </w:rPr>
        <w:t>s</w:t>
      </w:r>
      <w:r w:rsidR="002A7D41" w:rsidRPr="0000681D">
        <w:rPr>
          <w:b/>
        </w:rPr>
        <w:t xml:space="preserve"> </w:t>
      </w:r>
      <w:r w:rsidR="00D53FD6">
        <w:rPr>
          <w:b/>
        </w:rPr>
        <w:t>in</w:t>
      </w:r>
      <w:r w:rsidR="002A7D41" w:rsidRPr="0000681D">
        <w:rPr>
          <w:b/>
        </w:rPr>
        <w:t xml:space="preserve"> key functional groups</w:t>
      </w:r>
      <w:r w:rsidR="00930F93">
        <w:rPr>
          <w:b/>
        </w:rPr>
        <w:t xml:space="preserve"> in</w:t>
      </w:r>
      <w:bookmarkStart w:id="0" w:name="_GoBack"/>
      <w:bookmarkEnd w:id="0"/>
      <w:r w:rsidR="002A7D41" w:rsidRPr="0000681D">
        <w:rPr>
          <w:b/>
        </w:rPr>
        <w:t xml:space="preserve"> IDH-WT astrocytic tumors.</w:t>
      </w:r>
      <w:r w:rsidR="002A7D41" w:rsidRPr="0000681D">
        <w:t xml:space="preserve"> Common alteration types in IDH-WT gliomas of astrocytic origin are shown. Bars represent the percentage of samples with the indicated histological grade harboring each alteration. </w:t>
      </w:r>
      <w:r w:rsidR="00AA5E33">
        <w:t>All t</w:t>
      </w:r>
      <w:r w:rsidR="00627D9D">
        <w:t xml:space="preserve">umor </w:t>
      </w:r>
      <w:r w:rsidR="002A7D41" w:rsidRPr="0000681D">
        <w:t>samples from patients with WHO classification of glioblastoma or diffuse/anaplastic astrocytoma were included. P-values indicate significance from pairwise comparison across grades. N.S. not significant.</w:t>
      </w:r>
    </w:p>
    <w:p w14:paraId="6B3646E3" w14:textId="77777777" w:rsidR="002A7D41" w:rsidRPr="0000681D" w:rsidRDefault="002A7D41" w:rsidP="00EE4868">
      <w:pPr>
        <w:spacing w:line="240" w:lineRule="auto"/>
      </w:pPr>
      <w:r w:rsidRPr="0000681D">
        <w:br w:type="page"/>
      </w:r>
    </w:p>
    <w:p w14:paraId="1C4A6A21" w14:textId="6DD5D093" w:rsidR="002A7D41" w:rsidRPr="0000681D" w:rsidRDefault="009678C6" w:rsidP="00EE4868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EAF9701" wp14:editId="10FEB86E">
            <wp:extent cx="3809217" cy="218541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14 at 3.08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217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2A9C" w14:textId="77777777" w:rsidR="002A7D41" w:rsidRPr="0000681D" w:rsidRDefault="002A7D41" w:rsidP="00EE4868">
      <w:pPr>
        <w:spacing w:line="240" w:lineRule="auto"/>
      </w:pPr>
    </w:p>
    <w:p w14:paraId="4C2D8C78" w14:textId="209257D1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BC3316">
        <w:rPr>
          <w:b/>
        </w:rPr>
        <w:t>S</w:t>
      </w:r>
      <w:r w:rsidRPr="0000681D">
        <w:rPr>
          <w:b/>
        </w:rPr>
        <w:t>8. Cell-cycle alterations and outcome in 1p19q-intact IDH-WT tumors.</w:t>
      </w:r>
      <w:r w:rsidRPr="0000681D">
        <w:t xml:space="preserve"> The prognostic significance of cell-cycle alterations in primary grade II-III 1p19q intact IDH-WT gliomas with regards to </w:t>
      </w:r>
      <w:r w:rsidRPr="0000681D">
        <w:rPr>
          <w:b/>
        </w:rPr>
        <w:t>(A)</w:t>
      </w:r>
      <w:r w:rsidRPr="0000681D">
        <w:t xml:space="preserve"> overall survival, and </w:t>
      </w:r>
      <w:r w:rsidRPr="0000681D">
        <w:rPr>
          <w:b/>
        </w:rPr>
        <w:t>(B)</w:t>
      </w:r>
      <w:r w:rsidRPr="0000681D">
        <w:t xml:space="preserve"> progression-free survival</w:t>
      </w:r>
      <w:r w:rsidR="00AA5E33">
        <w:t xml:space="preserve"> from time of pathological diagnosis</w:t>
      </w:r>
      <w:r w:rsidRPr="0000681D">
        <w:t>. P-values from log-rank test.</w:t>
      </w:r>
    </w:p>
    <w:p w14:paraId="0A72C3B8" w14:textId="77777777" w:rsidR="002A7D41" w:rsidRPr="0000681D" w:rsidRDefault="002A7D41" w:rsidP="00EE4868">
      <w:pPr>
        <w:spacing w:line="240" w:lineRule="auto"/>
        <w:rPr>
          <w:b/>
        </w:rPr>
      </w:pPr>
      <w:r w:rsidRPr="0000681D">
        <w:rPr>
          <w:b/>
        </w:rPr>
        <w:br w:type="page"/>
      </w:r>
    </w:p>
    <w:p w14:paraId="6FCB2170" w14:textId="05CD09BD" w:rsidR="002A7D41" w:rsidRPr="0000681D" w:rsidRDefault="00961A7A" w:rsidP="00EE4868">
      <w:pPr>
        <w:spacing w:line="24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5FB3F60" wp14:editId="511D4A66">
            <wp:extent cx="4243077" cy="101498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14 at 3.15.2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77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BD59" w14:textId="77777777" w:rsidR="002A7D41" w:rsidRPr="0000681D" w:rsidRDefault="002A7D41" w:rsidP="00EE4868">
      <w:pPr>
        <w:spacing w:line="240" w:lineRule="auto"/>
        <w:rPr>
          <w:b/>
        </w:rPr>
      </w:pPr>
    </w:p>
    <w:p w14:paraId="3C42DC52" w14:textId="77777777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BC3316">
        <w:rPr>
          <w:b/>
        </w:rPr>
        <w:t>S</w:t>
      </w:r>
      <w:r w:rsidRPr="0000681D">
        <w:rPr>
          <w:b/>
        </w:rPr>
        <w:t>9. Rate of alkylating therapy-induced hypermutation by WHO class.</w:t>
      </w:r>
      <w:r w:rsidRPr="0000681D">
        <w:t xml:space="preserve"> The frequency of alkylating therapy-induced hypermutation by WHO classification, as a percentage of all sequenced specimens acquired post alkylator treatment. Absolute numbers as indicated.</w:t>
      </w:r>
    </w:p>
    <w:p w14:paraId="6C0AF939" w14:textId="77777777" w:rsidR="002A7D41" w:rsidRPr="0000681D" w:rsidRDefault="002A7D41" w:rsidP="00EE4868">
      <w:pPr>
        <w:spacing w:line="240" w:lineRule="auto"/>
        <w:rPr>
          <w:b/>
        </w:rPr>
      </w:pPr>
      <w:r w:rsidRPr="0000681D">
        <w:rPr>
          <w:b/>
        </w:rPr>
        <w:br w:type="page"/>
      </w:r>
    </w:p>
    <w:p w14:paraId="7C07EBD3" w14:textId="468E6F89" w:rsidR="002A7D41" w:rsidRPr="0000681D" w:rsidRDefault="00C6414D" w:rsidP="00EE4868">
      <w:pPr>
        <w:spacing w:line="24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159B295" wp14:editId="00795BCE">
            <wp:extent cx="3103924" cy="197510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17 at 4.53.5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92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020D" w14:textId="77777777" w:rsidR="002A7D41" w:rsidRPr="0000681D" w:rsidRDefault="002A7D41" w:rsidP="00EE4868">
      <w:pPr>
        <w:spacing w:line="240" w:lineRule="auto"/>
        <w:rPr>
          <w:b/>
        </w:rPr>
      </w:pPr>
    </w:p>
    <w:p w14:paraId="2A2E8511" w14:textId="2771C54B" w:rsidR="002A7D41" w:rsidRPr="00A64A4E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BC3316">
        <w:rPr>
          <w:b/>
        </w:rPr>
        <w:t>S</w:t>
      </w:r>
      <w:r w:rsidRPr="0000681D">
        <w:rPr>
          <w:b/>
        </w:rPr>
        <w:t xml:space="preserve">10. Frequency of actionable alterations. </w:t>
      </w:r>
      <w:r w:rsidRPr="0000681D">
        <w:t>Therapeutically actionable alterations across glioma patients with IDH WT and IDH-mutant disease is shown. Bar chart shows highest level of actionability, according to OncoKB curation, detected in any sample from a patient. Pie charts show the most frequently altered and actionable molecular targets in this cohort</w:t>
      </w:r>
      <w:r w:rsidR="00AA5E33">
        <w:t>, as a fraction of the total per subset of IDH-wildtype and -mutant tumors, respectively</w:t>
      </w:r>
      <w:r w:rsidRPr="0000681D">
        <w:t>.</w:t>
      </w:r>
      <w:r w:rsidR="0073292B">
        <w:t xml:space="preserve"> </w:t>
      </w:r>
      <w:r w:rsidR="00A64A4E">
        <w:t xml:space="preserve">Analysis excludes </w:t>
      </w:r>
      <w:r w:rsidR="00A64A4E" w:rsidRPr="00A64A4E">
        <w:rPr>
          <w:i/>
        </w:rPr>
        <w:t>IDH1/2</w:t>
      </w:r>
      <w:r w:rsidR="00A64A4E">
        <w:rPr>
          <w:i/>
        </w:rPr>
        <w:t xml:space="preserve"> </w:t>
      </w:r>
      <w:r w:rsidR="00A64A4E">
        <w:t>mutations.</w:t>
      </w:r>
    </w:p>
    <w:p w14:paraId="55B39692" w14:textId="77777777" w:rsidR="002A7D41" w:rsidRPr="0000681D" w:rsidRDefault="002A7D41" w:rsidP="00EE4868">
      <w:pPr>
        <w:spacing w:line="240" w:lineRule="auto"/>
      </w:pPr>
      <w:r w:rsidRPr="0000681D">
        <w:br w:type="page"/>
      </w:r>
    </w:p>
    <w:p w14:paraId="65A43E1F" w14:textId="77777777" w:rsidR="002A7D41" w:rsidRPr="0000681D" w:rsidRDefault="002A7D41" w:rsidP="00EE4868">
      <w:pPr>
        <w:spacing w:line="240" w:lineRule="auto"/>
        <w:jc w:val="center"/>
        <w:rPr>
          <w:b/>
        </w:rPr>
      </w:pPr>
      <w:r w:rsidRPr="0000681D">
        <w:rPr>
          <w:b/>
          <w:noProof/>
        </w:rPr>
        <w:lastRenderedPageBreak/>
        <w:drawing>
          <wp:inline distT="0" distB="0" distL="0" distR="0" wp14:anchorId="1A280169" wp14:editId="0BCAEB6B">
            <wp:extent cx="3822970" cy="17452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pl-fig-12.pd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483" cy="17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185B" w14:textId="77777777" w:rsidR="002A7D41" w:rsidRPr="0000681D" w:rsidRDefault="002A7D41" w:rsidP="00EE4868">
      <w:pPr>
        <w:spacing w:line="240" w:lineRule="auto"/>
        <w:rPr>
          <w:b/>
        </w:rPr>
      </w:pPr>
    </w:p>
    <w:p w14:paraId="5DE346E1" w14:textId="77777777" w:rsidR="002A7D41" w:rsidRPr="0000681D" w:rsidRDefault="002A7D41" w:rsidP="00EE4868">
      <w:pPr>
        <w:spacing w:line="240" w:lineRule="auto"/>
      </w:pPr>
      <w:r w:rsidRPr="0000681D">
        <w:rPr>
          <w:b/>
        </w:rPr>
        <w:t xml:space="preserve">Figure </w:t>
      </w:r>
      <w:r w:rsidR="00BC3316">
        <w:rPr>
          <w:b/>
        </w:rPr>
        <w:t>S</w:t>
      </w:r>
      <w:r w:rsidRPr="0000681D">
        <w:rPr>
          <w:b/>
        </w:rPr>
        <w:t xml:space="preserve">11. </w:t>
      </w:r>
      <w:r w:rsidRPr="0000681D">
        <w:rPr>
          <w:b/>
          <w:i/>
        </w:rPr>
        <w:t>BRAF</w:t>
      </w:r>
      <w:r w:rsidRPr="0000681D">
        <w:rPr>
          <w:b/>
        </w:rPr>
        <w:t xml:space="preserve"> hotspot mutations in glioma.</w:t>
      </w:r>
      <w:r w:rsidRPr="0000681D">
        <w:t xml:space="preserve"> Hotspot mutations in </w:t>
      </w:r>
      <w:r w:rsidRPr="0000681D">
        <w:rPr>
          <w:i/>
        </w:rPr>
        <w:t>BRAF</w:t>
      </w:r>
      <w:r w:rsidRPr="0000681D">
        <w:t xml:space="preserve"> in the study cohort of prospectively sequenced cancer patients (top, MSK cohort) and a collection of glioma samples from public resources (see Methods). Circles represent absolute count of mutations at each protein residue.</w:t>
      </w:r>
    </w:p>
    <w:p w14:paraId="73230E2F" w14:textId="77777777" w:rsidR="002A7D41" w:rsidRPr="0000681D" w:rsidRDefault="002A7D41" w:rsidP="00EE4868">
      <w:pPr>
        <w:spacing w:line="240" w:lineRule="auto"/>
      </w:pPr>
      <w:r w:rsidRPr="0000681D">
        <w:br w:type="page"/>
      </w:r>
    </w:p>
    <w:p w14:paraId="22E42939" w14:textId="77777777" w:rsidR="002A7D41" w:rsidRPr="0000681D" w:rsidRDefault="002A7D41" w:rsidP="00EE4868">
      <w:pPr>
        <w:spacing w:line="240" w:lineRule="auto"/>
        <w:jc w:val="center"/>
      </w:pPr>
      <w:r w:rsidRPr="0000681D">
        <w:rPr>
          <w:noProof/>
        </w:rPr>
        <w:lastRenderedPageBreak/>
        <w:drawing>
          <wp:inline distT="0" distB="0" distL="0" distR="0" wp14:anchorId="02B62C49" wp14:editId="21CD99C7">
            <wp:extent cx="2731146" cy="2788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2 at 12.17.3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46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24D5" w14:textId="77777777" w:rsidR="002A7D41" w:rsidRPr="0000681D" w:rsidRDefault="002A7D41" w:rsidP="00EE4868">
      <w:pPr>
        <w:spacing w:line="240" w:lineRule="auto"/>
      </w:pPr>
    </w:p>
    <w:p w14:paraId="07A7D0E8" w14:textId="573F39F8" w:rsidR="00612E36" w:rsidRPr="0000681D" w:rsidRDefault="002A7D41" w:rsidP="00BC3316">
      <w:pPr>
        <w:spacing w:line="240" w:lineRule="auto"/>
        <w:rPr>
          <w:b/>
        </w:rPr>
      </w:pPr>
      <w:r w:rsidRPr="0000681D">
        <w:rPr>
          <w:b/>
        </w:rPr>
        <w:t xml:space="preserve">Figure </w:t>
      </w:r>
      <w:r w:rsidR="00BC3316">
        <w:rPr>
          <w:b/>
        </w:rPr>
        <w:t>S</w:t>
      </w:r>
      <w:r w:rsidRPr="0000681D">
        <w:rPr>
          <w:b/>
        </w:rPr>
        <w:t xml:space="preserve">12. </w:t>
      </w:r>
      <w:r w:rsidR="005C7DF3">
        <w:rPr>
          <w:b/>
        </w:rPr>
        <w:t>M</w:t>
      </w:r>
      <w:r w:rsidR="00AA5E33">
        <w:rPr>
          <w:b/>
        </w:rPr>
        <w:t>R b</w:t>
      </w:r>
      <w:r w:rsidR="005C7DF3">
        <w:rPr>
          <w:b/>
        </w:rPr>
        <w:t xml:space="preserve">rain </w:t>
      </w:r>
      <w:r w:rsidR="00AA5E33">
        <w:rPr>
          <w:b/>
        </w:rPr>
        <w:t>i</w:t>
      </w:r>
      <w:r w:rsidRPr="0000681D">
        <w:rPr>
          <w:b/>
        </w:rPr>
        <w:t>mag</w:t>
      </w:r>
      <w:r w:rsidR="005C7DF3">
        <w:rPr>
          <w:b/>
        </w:rPr>
        <w:t>es</w:t>
      </w:r>
      <w:r w:rsidRPr="0000681D">
        <w:rPr>
          <w:b/>
        </w:rPr>
        <w:t xml:space="preserve"> for </w:t>
      </w:r>
      <w:r w:rsidR="005C7DF3">
        <w:rPr>
          <w:b/>
        </w:rPr>
        <w:t xml:space="preserve">three </w:t>
      </w:r>
      <w:r w:rsidRPr="0000681D">
        <w:rPr>
          <w:b/>
        </w:rPr>
        <w:t xml:space="preserve">patients receiving MAPK-directed therapy. </w:t>
      </w:r>
      <w:r w:rsidRPr="0000681D">
        <w:t xml:space="preserve">Pre-treatment and on/post-treatment imaging from patients on MAPK-directed therapy. Numbers indicating patients as in </w:t>
      </w:r>
      <w:r w:rsidRPr="0000681D">
        <w:rPr>
          <w:b/>
        </w:rPr>
        <w:t>Fig. 4C</w:t>
      </w:r>
      <w:r w:rsidRPr="0000681D">
        <w:t>, ordered from the top</w:t>
      </w:r>
      <w:r w:rsidRPr="0000681D">
        <w:rPr>
          <w:b/>
        </w:rPr>
        <w:t>.</w:t>
      </w:r>
    </w:p>
    <w:sectPr w:rsidR="00612E36" w:rsidRPr="0000681D" w:rsidSect="003E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AMA Oncology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dwtrpez9vwvane0r9px2aptwfszf95f0zd0&quot;&gt;glioma-manuscript&lt;record-ids&gt;&lt;item&gt;1&lt;/item&gt;&lt;item&gt;4&lt;/item&gt;&lt;item&gt;7&lt;/item&gt;&lt;item&gt;10&lt;/item&gt;&lt;item&gt;11&lt;/item&gt;&lt;item&gt;12&lt;/item&gt;&lt;item&gt;13&lt;/item&gt;&lt;item&gt;15&lt;/item&gt;&lt;item&gt;16&lt;/item&gt;&lt;item&gt;18&lt;/item&gt;&lt;item&gt;20&lt;/item&gt;&lt;item&gt;28&lt;/item&gt;&lt;item&gt;29&lt;/item&gt;&lt;item&gt;41&lt;/item&gt;&lt;item&gt;44&lt;/item&gt;&lt;/record-ids&gt;&lt;/item&gt;&lt;/Libraries&gt;"/>
  </w:docVars>
  <w:rsids>
    <w:rsidRoot w:val="00AE1292"/>
    <w:rsid w:val="0000681D"/>
    <w:rsid w:val="00017635"/>
    <w:rsid w:val="0002243F"/>
    <w:rsid w:val="00053459"/>
    <w:rsid w:val="000C3FB7"/>
    <w:rsid w:val="000C68F2"/>
    <w:rsid w:val="000C696D"/>
    <w:rsid w:val="000E28C9"/>
    <w:rsid w:val="00101FA4"/>
    <w:rsid w:val="00116741"/>
    <w:rsid w:val="00125F9A"/>
    <w:rsid w:val="00156EB0"/>
    <w:rsid w:val="001C3877"/>
    <w:rsid w:val="00203654"/>
    <w:rsid w:val="002038EF"/>
    <w:rsid w:val="00216C17"/>
    <w:rsid w:val="0023286A"/>
    <w:rsid w:val="00244124"/>
    <w:rsid w:val="0025041D"/>
    <w:rsid w:val="00255C73"/>
    <w:rsid w:val="00262E87"/>
    <w:rsid w:val="00287B81"/>
    <w:rsid w:val="002A7D41"/>
    <w:rsid w:val="00334FC3"/>
    <w:rsid w:val="003403D4"/>
    <w:rsid w:val="00361C35"/>
    <w:rsid w:val="00382711"/>
    <w:rsid w:val="003B1C51"/>
    <w:rsid w:val="003E505B"/>
    <w:rsid w:val="00407A7C"/>
    <w:rsid w:val="004519D2"/>
    <w:rsid w:val="004839B1"/>
    <w:rsid w:val="004A4A21"/>
    <w:rsid w:val="004B509B"/>
    <w:rsid w:val="004C5D56"/>
    <w:rsid w:val="004D11EA"/>
    <w:rsid w:val="005607C4"/>
    <w:rsid w:val="00594205"/>
    <w:rsid w:val="005C439D"/>
    <w:rsid w:val="005C7DF3"/>
    <w:rsid w:val="00612E36"/>
    <w:rsid w:val="00616151"/>
    <w:rsid w:val="00627D9D"/>
    <w:rsid w:val="006D2B74"/>
    <w:rsid w:val="006E239A"/>
    <w:rsid w:val="00725BE9"/>
    <w:rsid w:val="0073292B"/>
    <w:rsid w:val="00762D16"/>
    <w:rsid w:val="007744C5"/>
    <w:rsid w:val="0078402E"/>
    <w:rsid w:val="007E6010"/>
    <w:rsid w:val="007F78A4"/>
    <w:rsid w:val="00802B72"/>
    <w:rsid w:val="00830D79"/>
    <w:rsid w:val="00854EC7"/>
    <w:rsid w:val="008633EA"/>
    <w:rsid w:val="00874CF1"/>
    <w:rsid w:val="00877A65"/>
    <w:rsid w:val="008F2D3A"/>
    <w:rsid w:val="009028F2"/>
    <w:rsid w:val="00930F93"/>
    <w:rsid w:val="00961A7A"/>
    <w:rsid w:val="009678C6"/>
    <w:rsid w:val="00976129"/>
    <w:rsid w:val="00990847"/>
    <w:rsid w:val="009B7FB6"/>
    <w:rsid w:val="009C0670"/>
    <w:rsid w:val="009C29AF"/>
    <w:rsid w:val="00A2083A"/>
    <w:rsid w:val="00A4601F"/>
    <w:rsid w:val="00A64A4E"/>
    <w:rsid w:val="00AA5E33"/>
    <w:rsid w:val="00AE1292"/>
    <w:rsid w:val="00B06B40"/>
    <w:rsid w:val="00B20187"/>
    <w:rsid w:val="00B547A1"/>
    <w:rsid w:val="00BA0208"/>
    <w:rsid w:val="00BA78BA"/>
    <w:rsid w:val="00BB2864"/>
    <w:rsid w:val="00BC3316"/>
    <w:rsid w:val="00C05726"/>
    <w:rsid w:val="00C6414D"/>
    <w:rsid w:val="00C71D0C"/>
    <w:rsid w:val="00C7554F"/>
    <w:rsid w:val="00CC5EA5"/>
    <w:rsid w:val="00CD1174"/>
    <w:rsid w:val="00CE1E9A"/>
    <w:rsid w:val="00CE62F6"/>
    <w:rsid w:val="00CE7E02"/>
    <w:rsid w:val="00D53FD6"/>
    <w:rsid w:val="00D679D4"/>
    <w:rsid w:val="00D82F63"/>
    <w:rsid w:val="00DA68D5"/>
    <w:rsid w:val="00DD47E6"/>
    <w:rsid w:val="00DE021A"/>
    <w:rsid w:val="00E170D5"/>
    <w:rsid w:val="00E80193"/>
    <w:rsid w:val="00E80DE1"/>
    <w:rsid w:val="00E97970"/>
    <w:rsid w:val="00EB25D0"/>
    <w:rsid w:val="00EB66B1"/>
    <w:rsid w:val="00EE4868"/>
    <w:rsid w:val="00F45C21"/>
    <w:rsid w:val="00F65882"/>
    <w:rsid w:val="00FA11D7"/>
    <w:rsid w:val="00FA60C1"/>
    <w:rsid w:val="00FA7438"/>
    <w:rsid w:val="00FE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9087"/>
  <w15:docId w15:val="{08D2FA52-A541-4948-96AA-411CC5642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E1292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rsid w:val="00AE129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E1292"/>
    <w:rPr>
      <w:rFonts w:ascii="Arial" w:eastAsia="Arial" w:hAnsi="Arial" w:cs="Arial"/>
      <w:color w:val="0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AE1292"/>
    <w:rPr>
      <w:sz w:val="18"/>
      <w:szCs w:val="18"/>
    </w:rPr>
  </w:style>
  <w:style w:type="paragraph" w:styleId="NormalWeb">
    <w:name w:val="Normal (Web)"/>
    <w:basedOn w:val="Normal"/>
    <w:link w:val="NormalWebChar"/>
    <w:uiPriority w:val="99"/>
    <w:unhideWhenUsed/>
    <w:rsid w:val="00AE12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292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292"/>
    <w:rPr>
      <w:rFonts w:ascii="Times New Roman" w:eastAsia="Arial" w:hAnsi="Times New Roman" w:cs="Times New Roman"/>
      <w:color w:val="000000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017635"/>
    <w:pPr>
      <w:jc w:val="center"/>
    </w:pPr>
  </w:style>
  <w:style w:type="character" w:customStyle="1" w:styleId="NormalWebChar">
    <w:name w:val="Normal (Web) Char"/>
    <w:basedOn w:val="DefaultParagraphFont"/>
    <w:link w:val="NormalWeb"/>
    <w:uiPriority w:val="99"/>
    <w:rsid w:val="00017635"/>
    <w:rPr>
      <w:rFonts w:ascii="Times New Roman" w:eastAsia="Times New Roman" w:hAnsi="Times New Roman" w:cs="Times New Roman"/>
    </w:rPr>
  </w:style>
  <w:style w:type="character" w:customStyle="1" w:styleId="EndNoteBibliographyTitleChar">
    <w:name w:val="EndNote Bibliography Title Char"/>
    <w:basedOn w:val="NormalWebChar"/>
    <w:link w:val="EndNoteBibliographyTitle"/>
    <w:rsid w:val="00017635"/>
    <w:rPr>
      <w:rFonts w:ascii="Arial" w:eastAsia="Arial" w:hAnsi="Arial" w:cs="Arial"/>
      <w:color w:val="000000"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017635"/>
    <w:pPr>
      <w:spacing w:line="240" w:lineRule="auto"/>
    </w:pPr>
  </w:style>
  <w:style w:type="character" w:customStyle="1" w:styleId="EndNoteBibliographyChar">
    <w:name w:val="EndNote Bibliography Char"/>
    <w:basedOn w:val="NormalWebChar"/>
    <w:link w:val="EndNoteBibliography"/>
    <w:rsid w:val="00017635"/>
    <w:rPr>
      <w:rFonts w:ascii="Arial" w:eastAsia="Arial" w:hAnsi="Arial" w:cs="Arial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612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084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0847"/>
    <w:rPr>
      <w:rFonts w:ascii="Arial" w:eastAsia="Arial" w:hAnsi="Arial" w:cs="Arial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26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4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56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26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0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9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9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43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72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6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4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7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6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6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07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 Jonsson</dc:creator>
  <cp:lastModifiedBy>Philip Jonsson</cp:lastModifiedBy>
  <cp:revision>14</cp:revision>
  <dcterms:created xsi:type="dcterms:W3CDTF">2019-05-13T13:24:00Z</dcterms:created>
  <dcterms:modified xsi:type="dcterms:W3CDTF">2019-05-19T19:13:00Z</dcterms:modified>
</cp:coreProperties>
</file>