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Раунд №4. «ХТО Я?»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Умови.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Один учасник команди виходить за імпровізовану ширму-екран. Учасник ставить запитання до своєї команди, а ті можуть відповідати на запитання лише «так» або «ні». Протягом 60 секунд учасник від команди має вгадати те, що зображено на малюнку.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Оцінювання.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Правильна відповідь – 1000 бітів.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для хлопців.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для дівчат.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1885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Умови.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Бонусне запитання від хлопців. Назвати кількість відсотків. Помилитися можна на +-10%. Час на виконання 60 секунд.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Оцінювання.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Правильна відповідь – 1000 бітів.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Кількість стаціонарних ПК проти мобільних ПК у світі складає ...%?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Відповідь. 80%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Джерело.</w:t>
      </w:r>
      <w:r w:rsidDel="00000000" w:rsidR="00000000" w:rsidRPr="00000000">
        <w:rPr>
          <w:rtl w:val="0"/>
        </w:rPr>
        <w:t xml:space="preserve"> За статистикою StatCounter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http://gs.statcounter.com/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gs.statcoun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