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Engineering Journal: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Xpirit Robotics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Future Engineers Category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WRO 2024 Argentina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Participants:</w:t>
        <w:tab/>
        <w:t xml:space="preserve">Nahuel Cabaña, Franco Gallardo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Mentor:</w:t>
        <w:tab/>
        <w:t xml:space="preserve">Franco Aguirre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Country: </w:t>
        <w:tab/>
        <w:t xml:space="preserve">Argentina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Mobility Management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In accordance with the competition regulations, our robot utilizes a single DC motor and one servo motor. To enable the steering system, we have incorporated a custom 3D-printed component that allows both front wheels to turn from left to right.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steering system is pretty simple, But is useful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Regarding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the DC motor, we have attached two wheels directly to it, making the robot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most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compact and light possible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DC motor allows the backward and forward movement.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Power and Sense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We use a 7V 2000mAh Li-Po battery to power the logic part and the dc motors of our robot. Li-Po batteries are lightweight and have a high energy density, making them ideal for our needs . For sensors, we have three CJVL53L0XV2 sensors for accurate and fast wall distance detection. These sensors measure up to 2 meters with millimeter-level accuracy. For color detection, we use an ESP32 camera . This board integrates image detection and image processing using AI, making it perfect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avoiding obstacles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Components We use: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use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We intend to use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Obstacle Management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obstacles avoiding and color detection we use a ESP32 Cam with an Machine Learning model using Edge Impulse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