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Emanuele Aldrovandi è autore e regista per teatro e cinema. I suoi testi sono messi in scena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 principali teatri italiani e tradotti in numerose lingue. Col cortometraggio Bataclan ha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vinto il Nastro d’argento 2021. Nel 2024 è uscito il suo primo romanzo, Il nostro grande niente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(Einaudi). Insegna alla Paolo Grassi di Milano e alla Scuola Holden di Torino. È direttore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artistico dell’Associazione Teatrale Autori Vivi e del Teatro del Fiume di Boretto.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Collegamentoipertestuale">
    <w:name w:val="Collegamento ipertestuale"/>
    <w:next w:val="Collegamentoipertestuale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KeBv2n2R4nc6tOOfblk9rlKSA==">CgMxLjA4AHIhMU11XzNrdnRnZHpBUHFDU1hQR1J3eG92MTk2Qmk5WGxX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2025-08-24T09:54:00Z</dcterms:created>
  <dc:creator>Emanuele Aldrovandi</dc:creator>
</cp:coreProperties>
</file>