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b w:val="1"/>
          <w:rtl w:val="0"/>
        </w:rPr>
        <w:t xml:space="preserve">Alessandro Tassi Carboni</w:t>
        <w:br w:type="textWrapping"/>
      </w:r>
      <w:r w:rsidDel="00000000" w:rsidR="00000000" w:rsidRPr="00000000">
        <w:rPr>
          <w:rtl w:val="0"/>
        </w:rPr>
        <w:t xml:space="preserve">Architetto con oltre trent’anni di esperienza nel campo urbanistico, nella progettazione e nella direzione lavori di opere pubbliche. Consigliere, poi Presidente, dell’Ordine degli Architetti PPC di Parma dal 1996 al 2017 e nuovamente Presidente per il mandato 2025–2029.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 guidato l’associazione </w:t>
      </w:r>
      <w:r w:rsidDel="00000000" w:rsidR="00000000" w:rsidRPr="00000000">
        <w:rPr>
          <w:i w:val="1"/>
          <w:rtl w:val="0"/>
        </w:rPr>
        <w:t xml:space="preserve">Workout Pasubio</w:t>
      </w:r>
      <w:r w:rsidDel="00000000" w:rsidR="00000000" w:rsidRPr="00000000">
        <w:rPr>
          <w:rtl w:val="0"/>
        </w:rPr>
        <w:t xml:space="preserve"> nel progetto di rigenerazione e uso temporaneo dello spazio ex Manzini di via Palermo a Parma ed è Direttore della </w:t>
      </w:r>
      <w:r w:rsidDel="00000000" w:rsidR="00000000" w:rsidRPr="00000000">
        <w:rPr>
          <w:i w:val="1"/>
          <w:rtl w:val="0"/>
        </w:rPr>
        <w:t xml:space="preserve">Scuola di Architettura per bambine e bambini SOU</w:t>
      </w:r>
      <w:r w:rsidDel="00000000" w:rsidR="00000000" w:rsidRPr="00000000">
        <w:rPr>
          <w:rtl w:val="0"/>
        </w:rPr>
        <w:t xml:space="preserve">, oggi giunta alla terza edizione.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Dal 2017 al 2022 ha maturato un’importante esperienza politica come Presidente del Consiglio Comunale di Parma e Vicepresidente della Provincia.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Parallelamente, è impegnato in progetti di cooperazione internazionale, prima in Senegal e successivamente in Burundi, e svolge attività di volontariato nell’Assistenza Pubblica Parma dal 1987, dove ha ricoperto diversi ruoli direttivi.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