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Direttrice del Premio Biella Letteratura e Industria dal 2004, unisce competenze in progettazione europea, formazione e innovazione, promuovendo iniziative a forte impatto culturale e sociale.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