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ze9epppbou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Estructura del sistema de inferencia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sistema está diseñado para operar de forma modular y “eficiente” sobre múltiples IAs de visión por computadora. El enfoque está en torno a separar responsabilidades clave y evitar condicionales innecesarios mediante </w:t>
      </w:r>
      <w:r w:rsidDel="00000000" w:rsidR="00000000" w:rsidRPr="00000000">
        <w:rPr>
          <w:b w:val="1"/>
          <w:rtl w:val="0"/>
        </w:rPr>
        <w:t xml:space="preserve">callables especializados</w:t>
      </w:r>
      <w:r w:rsidDel="00000000" w:rsidR="00000000" w:rsidRPr="00000000">
        <w:rPr>
          <w:rtl w:val="0"/>
        </w:rPr>
        <w:t xml:space="preserve"> generados en tiempo de inicialización a partir de configuraciones JSON por IA.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g6he93fbn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Flujo general del controlador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controlador opera 7 pasos principales: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Obtener el frame</w:t>
        <w:br w:type="textWrapping"/>
      </w:r>
      <w:r w:rsidDel="00000000" w:rsidR="00000000" w:rsidRPr="00000000">
        <w:rPr>
          <w:rtl w:val="0"/>
        </w:rPr>
        <w:t xml:space="preserve"> Captura del frame desde el cliente o fuente de video. </w:t>
      </w:r>
      <w:r w:rsidDel="00000000" w:rsidR="00000000" w:rsidRPr="00000000">
        <w:rPr>
          <w:i w:val="1"/>
          <w:rtl w:val="0"/>
        </w:rPr>
        <w:t xml:space="preserve">(por implementar)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Preprocesar el frame (genérico)</w:t>
        <w:br w:type="textWrapping"/>
      </w:r>
      <w:r w:rsidDel="00000000" w:rsidR="00000000" w:rsidRPr="00000000">
        <w:rPr>
          <w:rtl w:val="0"/>
        </w:rPr>
        <w:t xml:space="preserve"> A partir del JSON asociado a la IA activa, el módulo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transformers.py</w:t>
      </w:r>
      <w:r w:rsidDel="00000000" w:rsidR="00000000" w:rsidRPr="00000000">
        <w:rPr>
          <w:rtl w:val="0"/>
        </w:rPr>
        <w:t xml:space="preserve"> genera una función de preprocesamiento. Esta función convierte un frame crudo a un formato tensorial, con operaciones como resize, normalización, y letterboxing. Este paso es </w:t>
      </w:r>
      <w:r w:rsidDel="00000000" w:rsidR="00000000" w:rsidRPr="00000000">
        <w:rPr>
          <w:b w:val="1"/>
          <w:rtl w:val="0"/>
        </w:rPr>
        <w:t xml:space="preserve">genérico</w:t>
      </w:r>
      <w:r w:rsidDel="00000000" w:rsidR="00000000" w:rsidRPr="00000000">
        <w:rPr>
          <w:rtl w:val="0"/>
        </w:rPr>
        <w:t xml:space="preserve">, independiente de la IA, y reutilizable entre distintos modelos con entrada similar.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Adaptar preprocesamiento a la IA específica</w:t>
        <w:br w:type="textWrapping"/>
      </w:r>
      <w:r w:rsidDel="00000000" w:rsidR="00000000" w:rsidRPr="00000000">
        <w:rPr>
          <w:rtl w:val="0"/>
        </w:rPr>
        <w:t xml:space="preserve"> Algunos modelos requieren entradas con estructuras o layouts que no pueden expresarse únicamente con el preprocesamiento general (por ejemplo, un layout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NCHW</w:t>
      </w:r>
      <w:r w:rsidDel="00000000" w:rsidR="00000000" w:rsidRPr="00000000">
        <w:rPr>
          <w:rtl w:val="0"/>
        </w:rPr>
        <w:t xml:space="preserve">, tensores adicionales, u orden de canales específico).</w:t>
        <w:br w:type="textWrapping"/>
        <w:t xml:space="preserve"> Aquí entra en juego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adapters.py</w:t>
      </w:r>
      <w:r w:rsidDel="00000000" w:rsidR="00000000" w:rsidRPr="00000000">
        <w:rPr>
          <w:rtl w:val="0"/>
        </w:rPr>
        <w:t xml:space="preserve">, que aplica transformaciones específicas al tensor resultante para que se alinee con las necesidades internas del modelo cargado. </w:t>
      </w:r>
      <w:r w:rsidDel="00000000" w:rsidR="00000000" w:rsidRPr="00000000">
        <w:rPr>
          <w:i w:val="1"/>
          <w:rtl w:val="0"/>
        </w:rPr>
        <w:t xml:space="preserve">(por implementar)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Generar la inferencia</w:t>
        <w:br w:type="textWrapping"/>
      </w:r>
      <w:r w:rsidDel="00000000" w:rsidR="00000000" w:rsidRPr="00000000">
        <w:rPr>
          <w:rtl w:val="0"/>
        </w:rPr>
        <w:t xml:space="preserve"> Se ejecuta una </w:t>
      </w:r>
      <w:r w:rsidDel="00000000" w:rsidR="00000000" w:rsidRPr="00000000">
        <w:rPr>
          <w:b w:val="1"/>
          <w:rtl w:val="0"/>
        </w:rPr>
        <w:t xml:space="preserve">función de inferencia predefinida</w:t>
      </w:r>
      <w:r w:rsidDel="00000000" w:rsidR="00000000" w:rsidRPr="00000000">
        <w:rPr>
          <w:rtl w:val="0"/>
        </w:rPr>
        <w:t xml:space="preserve"> (y no genérica) que fue entregada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model_loader</w:t>
      </w:r>
      <w:r w:rsidDel="00000000" w:rsidR="00000000" w:rsidRPr="00000000">
        <w:rPr>
          <w:rtl w:val="0"/>
        </w:rPr>
        <w:t xml:space="preserve">. Esta función encapsula completamente la forma particular de ejecución del modelo (TFLite, ONNX, TorchScript, etc.).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model_loader</w:t>
      </w:r>
      <w:r w:rsidDel="00000000" w:rsidR="00000000" w:rsidRPr="00000000">
        <w:rPr>
          <w:rtl w:val="0"/>
        </w:rPr>
        <w:t xml:space="preserve"> simplemente actúa como un </w:t>
      </w:r>
      <w:r w:rsidDel="00000000" w:rsidR="00000000" w:rsidRPr="00000000">
        <w:rPr>
          <w:b w:val="1"/>
          <w:rtl w:val="0"/>
        </w:rPr>
        <w:t xml:space="preserve">dador de la función de inferencia</w:t>
      </w:r>
      <w:r w:rsidDel="00000000" w:rsidR="00000000" w:rsidRPr="00000000">
        <w:rPr>
          <w:rtl w:val="0"/>
        </w:rPr>
        <w:t xml:space="preserve">, no como un adaptador ni un manejador de entrada/salida.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Adaptar raw_output al formato genérico del controlador</w:t>
        <w:br w:type="textWrapping"/>
      </w:r>
      <w:r w:rsidDel="00000000" w:rsidR="00000000" w:rsidRPr="00000000">
        <w:rPr>
          <w:rtl w:val="0"/>
        </w:rPr>
        <w:t xml:space="preserve"> El output bruto de cada IA puede tener estructuras arbitrarias y no siempre compatibles con el flujo común del sistema (por ejemplo, vectores en orden [cx, cy, w, h] en vez de [y1, x1, y2, x2], o sin índice de clase explícito).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adapters.py</w:t>
      </w:r>
      <w:r w:rsidDel="00000000" w:rsidR="00000000" w:rsidRPr="00000000">
        <w:rPr>
          <w:rtl w:val="0"/>
        </w:rPr>
        <w:t xml:space="preserve"> proporciona funciones que transforman esta salida a un formato genérico y estructurado, de modo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transformers.py</w:t>
      </w:r>
      <w:r w:rsidDel="00000000" w:rsidR="00000000" w:rsidRPr="00000000">
        <w:rPr>
          <w:rtl w:val="0"/>
        </w:rPr>
        <w:t xml:space="preserve"> pueda aplicar el postproceso sin condiciones. </w:t>
      </w:r>
      <w:r w:rsidDel="00000000" w:rsidR="00000000" w:rsidRPr="00000000">
        <w:rPr>
          <w:i w:val="1"/>
          <w:rtl w:val="0"/>
        </w:rPr>
        <w:t xml:space="preserve">(en desarrollo)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Postprocesar las detecciones</w:t>
        <w:br w:type="textWrapping"/>
      </w:r>
      <w:r w:rsidDel="00000000" w:rsidR="00000000" w:rsidRPr="00000000">
        <w:rPr>
          <w:rtl w:val="0"/>
        </w:rPr>
        <w:t xml:space="preserve"> A partir del output ya adaptado,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transformers.py</w:t>
      </w:r>
      <w:r w:rsidDel="00000000" w:rsidR="00000000" w:rsidRPr="00000000">
        <w:rPr>
          <w:rtl w:val="0"/>
        </w:rPr>
        <w:t xml:space="preserve"> aplica pasos como filtrado por confianza, Non-Max Suppression (NMS) y limpieza de estructuras. Esta etapa es también </w:t>
      </w:r>
      <w:r w:rsidDel="00000000" w:rsidR="00000000" w:rsidRPr="00000000">
        <w:rPr>
          <w:b w:val="1"/>
          <w:rtl w:val="0"/>
        </w:rPr>
        <w:t xml:space="preserve">precompilada en una función callable</w:t>
      </w:r>
      <w:r w:rsidDel="00000000" w:rsidR="00000000" w:rsidRPr="00000000">
        <w:rPr>
          <w:rtl w:val="0"/>
        </w:rPr>
        <w:t xml:space="preserve"> según el JSON de la IA.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Devolver al cliente</w:t>
        <w:br w:type="textWrapping"/>
      </w:r>
      <w:r w:rsidDel="00000000" w:rsidR="00000000" w:rsidRPr="00000000">
        <w:rPr>
          <w:rtl w:val="0"/>
        </w:rPr>
        <w:t xml:space="preserve"> Se retransforman los resultados (por ejemplo, dibujando detecciones en una imagen base) y se devuelven al cliente. </w:t>
      </w:r>
      <w:r w:rsidDel="00000000" w:rsidR="00000000" w:rsidRPr="00000000">
        <w:rPr>
          <w:i w:val="1"/>
          <w:rtl w:val="0"/>
        </w:rPr>
        <w:t xml:space="preserve">(por implementar)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c367r7t0pu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Modelo JSON: explicación detallada línea por línea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IA se acompaña de un archivo JSON con su configuración precisa, que define sus requerimientos de entrada y salida. A continuación se desglosa un ejemplo completo: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"model_type": "detection",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"input": 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"width": 640,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"height": 640,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"channels": 3,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"normalize": true,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"mean": [0.0, 0.0, 0.0],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"std": [1.0, 1.0, 1.0],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"letterbox": true,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"auto_pad_color": [114, 114, 114],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"preserve_aspect_ratio": true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"output":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"confidence_threshold": 0.5,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"nms_threshold": 0.45,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"apply_nms": true,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"tensor_structure":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"format": "yxyx",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"coordinates":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"y1": 0,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"x1": 1,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"y2": 2,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"x2": 3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"confidence_index": 4,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"class_index": 5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r0a4awvb42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"model_type": "detection"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Indica el tipo de IA que se está utilizando. Esto se usa para activar módulos especializados (por ejemplo, en postprocesado) según sea detección, segmentación o clasificación.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c44ljo7rvp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cómo debe preprocesarse la imagen para alimentar la IA: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"width"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"height"</w:t>
      </w:r>
      <w:r w:rsidDel="00000000" w:rsidR="00000000" w:rsidRPr="00000000">
        <w:rPr>
          <w:rtl w:val="0"/>
        </w:rPr>
        <w:t xml:space="preserve">: dimensiones esperadas por el modelo. Se redimensiona el input a este tamaño.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"channels"</w:t>
      </w:r>
      <w:r w:rsidDel="00000000" w:rsidR="00000000" w:rsidRPr="00000000">
        <w:rPr>
          <w:rtl w:val="0"/>
        </w:rPr>
        <w:t xml:space="preserve">: cantidad de canales de color (comúnmente 3 para RGB).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"normalize"</w:t>
      </w:r>
      <w:r w:rsidDel="00000000" w:rsidR="00000000" w:rsidRPr="00000000">
        <w:rPr>
          <w:rtl w:val="0"/>
        </w:rPr>
        <w:t xml:space="preserve">: si se deben normalizar los valores del input.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"mean"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"std"</w:t>
      </w:r>
      <w:r w:rsidDel="00000000" w:rsidR="00000000" w:rsidRPr="00000000">
        <w:rPr>
          <w:rtl w:val="0"/>
        </w:rPr>
        <w:t xml:space="preserve">: media y desviación estándar por canal para normalización.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"letterbox"</w:t>
      </w:r>
      <w:r w:rsidDel="00000000" w:rsidR="00000000" w:rsidRPr="00000000">
        <w:rPr>
          <w:rtl w:val="0"/>
        </w:rPr>
        <w:t xml:space="preserve">: indica si se debe aplicar letterbox para preservar aspecto.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"auto_pad_color"</w:t>
      </w:r>
      <w:r w:rsidDel="00000000" w:rsidR="00000000" w:rsidRPr="00000000">
        <w:rPr>
          <w:rtl w:val="0"/>
        </w:rPr>
        <w:t xml:space="preserve">: color del padding si se aplica letterbox.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"preserve_aspect_ratio"</w:t>
      </w:r>
      <w:r w:rsidDel="00000000" w:rsidR="00000000" w:rsidRPr="00000000">
        <w:rPr>
          <w:rtl w:val="0"/>
        </w:rPr>
        <w:t xml:space="preserve">: si se debe mantener la proporción original al redimensionar (requiere letterbox).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dmg2ukd7nc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Contiene los parámetros que el postprocesado usará para limpiar los resultados: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"confidence_threshold"</w:t>
      </w:r>
      <w:r w:rsidDel="00000000" w:rsidR="00000000" w:rsidRPr="00000000">
        <w:rPr>
          <w:rtl w:val="0"/>
        </w:rPr>
        <w:t xml:space="preserve">: mínimo valor de confianza para aceptar una predicción.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"nms_threshold"</w:t>
      </w:r>
      <w:r w:rsidDel="00000000" w:rsidR="00000000" w:rsidRPr="00000000">
        <w:rPr>
          <w:rtl w:val="0"/>
        </w:rPr>
        <w:t xml:space="preserve">: umbral de superposición para aplicar NMS.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"apply_nms"</w:t>
      </w:r>
      <w:r w:rsidDel="00000000" w:rsidR="00000000" w:rsidRPr="00000000">
        <w:rPr>
          <w:rtl w:val="0"/>
        </w:rPr>
        <w:t xml:space="preserve">: si debe aplicarse o no Non-Max Suppression.</w:t>
        <w:br w:type="textWrapping"/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a6ye69tgmt33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tensor_structure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cómo interpretar el output del modelo crudo: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"format": "yxyx"</w:t>
      </w:r>
      <w:r w:rsidDel="00000000" w:rsidR="00000000" w:rsidRPr="00000000">
        <w:rPr>
          <w:rtl w:val="0"/>
        </w:rPr>
        <w:t xml:space="preserve">: orden esperado de las coordenadas de las cajas.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"coordinates"</w:t>
      </w:r>
      <w:r w:rsidDel="00000000" w:rsidR="00000000" w:rsidRPr="00000000">
        <w:rPr>
          <w:rtl w:val="0"/>
        </w:rPr>
        <w:t xml:space="preserve">: mapeo explícito de índices de cada coordenada.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"confidence_index"</w:t>
      </w:r>
      <w:r w:rsidDel="00000000" w:rsidR="00000000" w:rsidRPr="00000000">
        <w:rPr>
          <w:rtl w:val="0"/>
        </w:rPr>
        <w:t xml:space="preserve">: índice en el tensor donde se encuentra la confianza.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"class_index"</w:t>
      </w:r>
      <w:r w:rsidDel="00000000" w:rsidR="00000000" w:rsidRPr="00000000">
        <w:rPr>
          <w:rtl w:val="0"/>
        </w:rPr>
        <w:t xml:space="preserve">: índice donde se encuentra la clase predicha.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es vital para que el adaptador de outputs sepa cómo transformar un output arbitrario a una estructura homogénea compatible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transformers.py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1muzfettn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Adaptadores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adapters.py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adaptadores se volvieron necesarios al evidenciar que el controlador transforma y consume entradas y salidas de manera </w:t>
      </w:r>
      <w:r w:rsidDel="00000000" w:rsidR="00000000" w:rsidRPr="00000000">
        <w:rPr>
          <w:b w:val="1"/>
          <w:rtl w:val="0"/>
        </w:rPr>
        <w:t xml:space="preserve">genérica y predefinida</w:t>
      </w:r>
      <w:r w:rsidDel="00000000" w:rsidR="00000000" w:rsidRPr="00000000">
        <w:rPr>
          <w:rtl w:val="0"/>
        </w:rPr>
        <w:t xml:space="preserve">, pero no todas las IAs respetan estos formatos.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ejemplo: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Algunas redes esperan inputs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3, 640, 640]</w:t>
      </w:r>
      <w:r w:rsidDel="00000000" w:rsidR="00000000" w:rsidRPr="00000000">
        <w:rPr>
          <w:rtl w:val="0"/>
        </w:rPr>
        <w:t xml:space="preserve"> en vez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640, 640, 3]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Algunos outputs están codificados en layouts diferentes, o devuelven diccionarios en vez de tensores.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controlador no puede manejar estos casos con condicionales. La solución fue centralizar toda esta lógica en </w:t>
      </w:r>
      <w:r w:rsidDel="00000000" w:rsidR="00000000" w:rsidRPr="00000000">
        <w:rPr>
          <w:b w:val="1"/>
          <w:rtl w:val="0"/>
        </w:rPr>
        <w:t xml:space="preserve">adaptadores de entrada y salida</w:t>
      </w:r>
      <w:r w:rsidDel="00000000" w:rsidR="00000000" w:rsidRPr="00000000">
        <w:rPr>
          <w:rtl w:val="0"/>
        </w:rPr>
        <w:t xml:space="preserve"> que se generan automáticamente a partir de los JSONs.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k9gzccpqp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de los adaptadores: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Transformar la salida del preprocesamiento (tensor genérico) al formato requerido por la IA.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Transformar el output crudo del modelo al formato estandarizado esperado por el postproceso.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permite que: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model_loader</w:t>
      </w:r>
      <w:r w:rsidDel="00000000" w:rsidR="00000000" w:rsidRPr="00000000">
        <w:rPr>
          <w:rtl w:val="0"/>
        </w:rPr>
        <w:t xml:space="preserve"> se mantenga enfocado solo en entregar la función de inferencia.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transformers.py</w:t>
      </w:r>
      <w:r w:rsidDel="00000000" w:rsidR="00000000" w:rsidRPr="00000000">
        <w:rPr>
          <w:rtl w:val="0"/>
        </w:rPr>
        <w:t xml:space="preserve"> no tenga condiciones internas ni suposiciones de estructura.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controlador utiliza funciones homogéneas, sin preocuparse por el modelo.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uquqp8m7n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Cómo se generan los callables al registrar una nueva IA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Cuando el sistema detecta que se debe usar una nueva IA (por solicitud del cliente), el controlador sigue este flujo: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Lee el JSON asociado al nombre del modelo.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 el JSON con Pydantic</w:t>
      </w:r>
      <w:r w:rsidDel="00000000" w:rsidR="00000000" w:rsidRPr="00000000">
        <w:rPr>
          <w:rtl w:val="0"/>
        </w:rPr>
        <w:t xml:space="preserve"> para asegurar que todos los campos son correctos y completos.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Ejecuta los generadores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transformers.py</w:t>
      </w:r>
      <w:r w:rsidDel="00000000" w:rsidR="00000000" w:rsidRPr="00000000">
        <w:rPr>
          <w:rtl w:val="0"/>
        </w:rPr>
        <w:t xml:space="preserve">, creando: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preprocess_fn</w:t>
      </w:r>
      <w:r w:rsidDel="00000000" w:rsidR="00000000" w:rsidRPr="00000000">
        <w:rPr>
          <w:rtl w:val="0"/>
        </w:rPr>
        <w:t xml:space="preserve">: función para preparar el input.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postprocess_fn</w:t>
      </w:r>
      <w:r w:rsidDel="00000000" w:rsidR="00000000" w:rsidRPr="00000000">
        <w:rPr>
          <w:rtl w:val="0"/>
        </w:rPr>
        <w:t xml:space="preserve">: función para limpiar el output.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Ejecuta los generadores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adapters.py</w:t>
      </w:r>
      <w:r w:rsidDel="00000000" w:rsidR="00000000" w:rsidRPr="00000000">
        <w:rPr>
          <w:rtl w:val="0"/>
        </w:rPr>
        <w:t xml:space="preserve">, creando: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input_adapter_fn</w:t>
      </w:r>
      <w:r w:rsidDel="00000000" w:rsidR="00000000" w:rsidRPr="00000000">
        <w:rPr>
          <w:rtl w:val="0"/>
        </w:rPr>
        <w:t xml:space="preserve">: transforma el input genérico al requerido por el modelo. </w:t>
      </w:r>
      <w:r w:rsidDel="00000000" w:rsidR="00000000" w:rsidRPr="00000000">
        <w:rPr>
          <w:i w:val="1"/>
          <w:rtl w:val="0"/>
        </w:rPr>
        <w:t xml:space="preserve">(por hacer)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output_adapter_fn</w:t>
      </w:r>
      <w:r w:rsidDel="00000000" w:rsidR="00000000" w:rsidRPr="00000000">
        <w:rPr>
          <w:rtl w:val="0"/>
        </w:rPr>
        <w:t xml:space="preserve">: transforma el output del modelo al formato estándar. </w:t>
      </w:r>
      <w:r w:rsidDel="00000000" w:rsidR="00000000" w:rsidRPr="00000000">
        <w:rPr>
          <w:i w:val="1"/>
          <w:rtl w:val="0"/>
        </w:rPr>
        <w:t xml:space="preserve">(por hacer)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Obtiene la función de inferencia desde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model_loader</w:t>
      </w:r>
      <w:r w:rsidDel="00000000" w:rsidR="00000000" w:rsidRPr="00000000">
        <w:rPr>
          <w:rtl w:val="0"/>
        </w:rPr>
        <w:t xml:space="preserve"> según el tipo de modelo.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Asigna todo en un entorno local (contexto del modelo actual)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partir de ahí, el ciclo de inferencia puede ejecutarse con llamadas puramente funcionales y sin ramificaciones.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