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4DD9" w14:textId="77777777" w:rsidR="00166CE4" w:rsidRDefault="00D675AC">
      <w:pPr>
        <w:spacing w:after="20" w:line="230" w:lineRule="auto"/>
      </w:pPr>
      <w:r>
        <w:rPr>
          <w:b/>
          <w:bCs/>
          <w:color w:val="2E6DA4"/>
          <w:sz w:val="16"/>
          <w:szCs w:val="16"/>
        </w:rPr>
        <w:t>JUNSON Capital | Alternative Investment Division</w:t>
      </w:r>
    </w:p>
    <w:p w14:paraId="30256F33" w14:textId="77777777" w:rsidR="00166CE4" w:rsidRDefault="00D675AC">
      <w:pPr>
        <w:spacing w:after="20" w:line="230" w:lineRule="auto"/>
      </w:pPr>
      <w:r>
        <w:rPr>
          <w:b/>
          <w:bCs/>
          <w:color w:val="1F3B5B"/>
          <w:sz w:val="28"/>
          <w:szCs w:val="28"/>
        </w:rPr>
        <w:t>私募信贷研究报告</w:t>
      </w:r>
      <w:proofErr w:type="gramStart"/>
      <w:r>
        <w:rPr>
          <w:b/>
          <w:bCs/>
          <w:color w:val="1F3B5B"/>
          <w:sz w:val="28"/>
          <w:szCs w:val="28"/>
        </w:rPr>
        <w:t>摘要</w:t>
      </w:r>
      <w:r>
        <w:rPr>
          <w:b/>
          <w:bCs/>
          <w:color w:val="1F3B5B"/>
          <w:sz w:val="28"/>
          <w:szCs w:val="28"/>
        </w:rPr>
        <w:t xml:space="preserve"> — </w:t>
      </w:r>
      <w:proofErr w:type="gramEnd"/>
      <w:r>
        <w:rPr>
          <w:b/>
          <w:bCs/>
          <w:color w:val="1F3B5B"/>
          <w:sz w:val="28"/>
          <w:szCs w:val="28"/>
        </w:rPr>
        <w:t>2026Q3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5"/>
      </w:tblGrid>
      <w:tr w:rsidR="00166CE4" w14:paraId="3C952076" w14:textId="77777777">
        <w:tblPrEx>
          <w:tblCellMar>
            <w:top w:w="0" w:type="dxa"/>
            <w:bottom w:w="0" w:type="dxa"/>
          </w:tblCellMar>
        </w:tblPrEx>
        <w:tc>
          <w:tcPr>
            <w:tcW w:w="10245" w:type="dxa"/>
            <w:tcBorders>
              <w:top w:val="single" w:sz="12" w:space="0" w:color="1F3B5B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DCE6F1"/>
            <w:tcMar>
              <w:top w:w="42" w:type="dxa"/>
              <w:left w:w="120" w:type="dxa"/>
              <w:bottom w:w="42" w:type="dxa"/>
              <w:right w:w="120" w:type="dxa"/>
            </w:tcMar>
          </w:tcPr>
          <w:p w14:paraId="2727CAA0" w14:textId="77777777" w:rsidR="00166CE4" w:rsidRDefault="00D675AC">
            <w:pPr>
              <w:spacing w:line="230" w:lineRule="auto"/>
            </w:pPr>
            <w:r>
              <w:rPr>
                <w:b/>
                <w:bCs/>
                <w:color w:val="1F3B5B"/>
              </w:rPr>
              <w:t>结论：</w:t>
            </w:r>
            <w:r>
              <w:rPr>
                <w:color w:val="000000"/>
              </w:rPr>
              <w:t>压力真实但受控，本季关键词是分化而非崩塌</w:t>
            </w:r>
            <w:r>
              <w:rPr>
                <w:color w:val="000000"/>
              </w:rPr>
              <w:t>——</w:t>
            </w:r>
            <w:r>
              <w:rPr>
                <w:color w:val="000000"/>
              </w:rPr>
              <w:t>五家卖方四家中性至建设性（</w:t>
            </w:r>
            <w:r>
              <w:rPr>
                <w:color w:val="000000"/>
              </w:rPr>
              <w:t xml:space="preserve">UBS </w:t>
            </w:r>
            <w:r>
              <w:rPr>
                <w:color w:val="000000"/>
              </w:rPr>
              <w:t>为唯一空头），风险集中</w:t>
            </w:r>
            <w:proofErr w:type="gramStart"/>
            <w:r>
              <w:rPr>
                <w:color w:val="000000"/>
              </w:rPr>
              <w:t>在</w:t>
            </w:r>
            <w:r>
              <w:rPr>
                <w:color w:val="000000"/>
              </w:rPr>
              <w:t xml:space="preserve"> 2021</w:t>
            </w:r>
            <w:proofErr w:type="gramEnd"/>
            <w:r>
              <w:rPr>
                <w:color w:val="000000"/>
              </w:rPr>
              <w:t>–</w:t>
            </w:r>
            <w:proofErr w:type="gramStart"/>
            <w:r>
              <w:rPr>
                <w:color w:val="000000"/>
              </w:rPr>
              <w:t xml:space="preserve">22 </w:t>
            </w:r>
            <w:r>
              <w:rPr>
                <w:color w:val="000000"/>
              </w:rPr>
              <w:t>年份</w:t>
            </w:r>
            <w:proofErr w:type="gramEnd"/>
            <w:r>
              <w:rPr>
                <w:color w:val="000000"/>
              </w:rPr>
              <w:t>与软件板块，而非全行业系统性事件。我们三只基金本季无预警信号，评估为</w:t>
            </w:r>
            <w:r>
              <w:rPr>
                <w:b/>
                <w:bCs/>
                <w:color w:val="1F3B5B"/>
              </w:rPr>
              <w:t>「整体良好、需持续观察」</w:t>
            </w:r>
            <w:r>
              <w:rPr>
                <w:color w:val="000000"/>
              </w:rPr>
              <w:t>；当前或是本轮周期条款最好的投放窗口，主要盯防点是基金估值滞后于二级市场成交价。</w:t>
            </w:r>
          </w:p>
        </w:tc>
      </w:tr>
    </w:tbl>
    <w:p w14:paraId="400B1B85" w14:textId="77777777" w:rsidR="00166CE4" w:rsidRDefault="00166CE4">
      <w:pPr>
        <w:spacing w:after="20" w:line="230" w:lineRule="auto"/>
      </w:pPr>
    </w:p>
    <w:p w14:paraId="052B9031" w14:textId="77777777" w:rsidR="00166CE4" w:rsidRDefault="00D675AC">
      <w:pPr>
        <w:spacing w:before="28" w:after="20" w:line="230" w:lineRule="auto"/>
      </w:pPr>
      <w:r>
        <w:rPr>
          <w:b/>
          <w:bCs/>
          <w:color w:val="1F3B5B"/>
          <w:sz w:val="22"/>
          <w:szCs w:val="22"/>
        </w:rPr>
        <w:t>关键信用指标一览（</w:t>
      </w:r>
      <w:r>
        <w:rPr>
          <w:b/>
          <w:bCs/>
          <w:color w:val="1F3B5B"/>
          <w:sz w:val="22"/>
          <w:szCs w:val="22"/>
        </w:rPr>
        <w:t>2026Q1</w:t>
      </w:r>
      <w:r>
        <w:rPr>
          <w:b/>
          <w:bCs/>
          <w:color w:val="1F3B5B"/>
          <w:sz w:val="22"/>
          <w:szCs w:val="22"/>
        </w:rPr>
        <w:t>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800"/>
        <w:gridCol w:w="2745"/>
        <w:gridCol w:w="1800"/>
      </w:tblGrid>
      <w:tr w:rsidR="00166CE4" w14:paraId="41C1F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347573A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指标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2EA4B74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私募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信贷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直接贷款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15D4C86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公开市场对照</w:t>
            </w:r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34D910A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方向</w:t>
            </w:r>
          </w:p>
        </w:tc>
      </w:tr>
      <w:tr w:rsidR="00166CE4" w14:paraId="761DAC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9237CC9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违约率（五家</w:t>
            </w:r>
            <w:r>
              <w:rPr>
                <w:color w:val="000000"/>
                <w:sz w:val="16"/>
                <w:szCs w:val="16"/>
              </w:rPr>
              <w:t>vendor</w:t>
            </w:r>
            <w:r>
              <w:rPr>
                <w:color w:val="000000"/>
                <w:sz w:val="16"/>
                <w:szCs w:val="16"/>
              </w:rPr>
              <w:t>口径）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17719D6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1.6%–6.0%</w:t>
            </w:r>
            <w:r>
              <w:rPr>
                <w:color w:val="000000"/>
                <w:sz w:val="16"/>
                <w:szCs w:val="16"/>
              </w:rPr>
              <w:t>，中枢约</w:t>
            </w:r>
            <w:r>
              <w:rPr>
                <w:color w:val="000000"/>
                <w:sz w:val="16"/>
                <w:szCs w:val="16"/>
              </w:rPr>
              <w:t xml:space="preserve"> 4%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1271963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BSL 3.3%</w:t>
            </w:r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4059B25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方向不一</w:t>
            </w:r>
          </w:p>
        </w:tc>
      </w:tr>
      <w:tr w:rsidR="00166CE4" w14:paraId="113F0C3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B6C38DE" w14:textId="77777777" w:rsidR="00166CE4" w:rsidRDefault="00D675AC">
            <w:pPr>
              <w:spacing w:line="222" w:lineRule="auto"/>
            </w:pPr>
            <w:proofErr w:type="gramStart"/>
            <w:r>
              <w:rPr>
                <w:color w:val="000000"/>
                <w:sz w:val="16"/>
                <w:szCs w:val="16"/>
              </w:rPr>
              <w:t>未来</w:t>
            </w:r>
            <w:r>
              <w:rPr>
                <w:color w:val="000000"/>
                <w:sz w:val="16"/>
                <w:szCs w:val="16"/>
              </w:rPr>
              <w:t xml:space="preserve"> 12 </w:t>
            </w:r>
            <w:r>
              <w:rPr>
                <w:color w:val="000000"/>
                <w:sz w:val="16"/>
                <w:szCs w:val="16"/>
              </w:rPr>
              <w:t>个</w:t>
            </w:r>
            <w:proofErr w:type="gramEnd"/>
            <w:r>
              <w:rPr>
                <w:color w:val="000000"/>
                <w:sz w:val="16"/>
                <w:szCs w:val="16"/>
              </w:rPr>
              <w:t>月违约预测（</w:t>
            </w:r>
            <w:r>
              <w:rPr>
                <w:color w:val="000000"/>
                <w:sz w:val="16"/>
                <w:szCs w:val="16"/>
              </w:rPr>
              <w:t>MS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1CE9F40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约</w:t>
            </w:r>
            <w:r>
              <w:rPr>
                <w:color w:val="000000"/>
                <w:sz w:val="16"/>
                <w:szCs w:val="16"/>
              </w:rPr>
              <w:t xml:space="preserve"> 8%</w:t>
            </w:r>
            <w:r>
              <w:rPr>
                <w:color w:val="000000"/>
                <w:sz w:val="16"/>
                <w:szCs w:val="16"/>
              </w:rPr>
              <w:t>（年化）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EC024CD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BSL </w:t>
            </w:r>
            <w:r>
              <w:rPr>
                <w:color w:val="000000"/>
                <w:sz w:val="16"/>
                <w:szCs w:val="16"/>
              </w:rPr>
              <w:t>约</w:t>
            </w:r>
            <w:r>
              <w:rPr>
                <w:color w:val="000000"/>
                <w:sz w:val="16"/>
                <w:szCs w:val="16"/>
              </w:rPr>
              <w:t xml:space="preserve"> 5.5%</w:t>
            </w:r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C50C26A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↑</w:t>
            </w:r>
          </w:p>
        </w:tc>
      </w:tr>
      <w:tr w:rsidR="00166CE4" w14:paraId="59C9BF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AC54EB0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隐含回收率（违约当期）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E687733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45 </w:t>
            </w:r>
            <w:r>
              <w:rPr>
                <w:color w:val="000000"/>
                <w:sz w:val="16"/>
                <w:szCs w:val="16"/>
              </w:rPr>
              <w:t>点；</w:t>
            </w:r>
            <w:r>
              <w:rPr>
                <w:color w:val="000000"/>
                <w:sz w:val="16"/>
                <w:szCs w:val="16"/>
              </w:rPr>
              <w:t xml:space="preserve">PIK </w:t>
            </w:r>
            <w:r>
              <w:rPr>
                <w:color w:val="000000"/>
                <w:sz w:val="16"/>
                <w:szCs w:val="16"/>
              </w:rPr>
              <w:t>贷款</w:t>
            </w:r>
            <w:r>
              <w:rPr>
                <w:color w:val="000000"/>
                <w:sz w:val="16"/>
                <w:szCs w:val="16"/>
              </w:rPr>
              <w:t xml:space="preserve"> 41.6 </w:t>
            </w:r>
            <w:r>
              <w:rPr>
                <w:color w:val="000000"/>
                <w:sz w:val="16"/>
                <w:szCs w:val="16"/>
              </w:rPr>
              <w:t>点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8B1C162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银团</w:t>
            </w:r>
            <w:proofErr w:type="gramStart"/>
            <w:r>
              <w:rPr>
                <w:color w:val="000000"/>
                <w:sz w:val="16"/>
                <w:szCs w:val="16"/>
              </w:rPr>
              <w:t>贷款</w:t>
            </w:r>
            <w:r>
              <w:rPr>
                <w:color w:val="000000"/>
                <w:sz w:val="16"/>
                <w:szCs w:val="16"/>
              </w:rPr>
              <w:t xml:space="preserve"> 53 </w:t>
            </w:r>
            <w:proofErr w:type="gramEnd"/>
            <w:r>
              <w:rPr>
                <w:color w:val="000000"/>
                <w:sz w:val="16"/>
                <w:szCs w:val="16"/>
              </w:rPr>
              <w:t>点</w:t>
            </w:r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654AEFB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↓</w:t>
            </w:r>
          </w:p>
        </w:tc>
      </w:tr>
      <w:tr w:rsidR="00166CE4" w14:paraId="45488A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BD6D022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总</w:t>
            </w:r>
            <w:proofErr w:type="gramStart"/>
            <w:r>
              <w:rPr>
                <w:color w:val="000000"/>
                <w:sz w:val="16"/>
                <w:szCs w:val="16"/>
              </w:rPr>
              <w:t>杠杆</w:t>
            </w:r>
            <w:r>
              <w:rPr>
                <w:color w:val="000000"/>
                <w:sz w:val="16"/>
                <w:szCs w:val="16"/>
              </w:rPr>
              <w:t xml:space="preserve"> / </w:t>
            </w:r>
            <w:proofErr w:type="gramEnd"/>
            <w:r>
              <w:rPr>
                <w:color w:val="000000"/>
                <w:sz w:val="16"/>
                <w:szCs w:val="16"/>
              </w:rPr>
              <w:t>利息保障倍数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AFB7AEC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5.7x / 2.0x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CA79004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高收益</w:t>
            </w:r>
            <w:proofErr w:type="gramStart"/>
            <w:r>
              <w:rPr>
                <w:color w:val="000000"/>
                <w:sz w:val="16"/>
                <w:szCs w:val="16"/>
              </w:rPr>
              <w:t>债</w:t>
            </w:r>
            <w:r>
              <w:rPr>
                <w:color w:val="000000"/>
                <w:sz w:val="16"/>
                <w:szCs w:val="16"/>
              </w:rPr>
              <w:t xml:space="preserve"> 3.6</w:t>
            </w:r>
            <w:proofErr w:type="gramEnd"/>
            <w:r>
              <w:rPr>
                <w:color w:val="000000"/>
                <w:sz w:val="16"/>
                <w:szCs w:val="16"/>
              </w:rPr>
              <w:t>x / 4.7x</w:t>
            </w:r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34CD307" w14:textId="77777777" w:rsidR="00166CE4" w:rsidRDefault="00D675AC">
            <w:pPr>
              <w:spacing w:line="222" w:lineRule="auto"/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持平</w:t>
            </w:r>
            <w:r>
              <w:rPr>
                <w:color w:val="000000"/>
                <w:sz w:val="16"/>
                <w:szCs w:val="16"/>
              </w:rPr>
              <w:t xml:space="preserve"> / </w:t>
            </w:r>
            <w:proofErr w:type="gramEnd"/>
            <w:r>
              <w:rPr>
                <w:color w:val="000000"/>
                <w:sz w:val="16"/>
                <w:szCs w:val="16"/>
              </w:rPr>
              <w:t>改善</w:t>
            </w:r>
          </w:p>
        </w:tc>
      </w:tr>
      <w:tr w:rsidR="00166CE4" w14:paraId="5DFBAB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B001ECE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BDC </w:t>
            </w:r>
            <w:r>
              <w:rPr>
                <w:color w:val="000000"/>
                <w:sz w:val="16"/>
                <w:szCs w:val="16"/>
              </w:rPr>
              <w:t>停止计息（非应计）比例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EAA6EA6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平均</w:t>
            </w:r>
            <w:r>
              <w:rPr>
                <w:color w:val="000000"/>
                <w:sz w:val="16"/>
                <w:szCs w:val="16"/>
              </w:rPr>
              <w:t xml:space="preserve"> 2.8%</w:t>
            </w:r>
            <w:r>
              <w:rPr>
                <w:color w:val="000000"/>
                <w:sz w:val="16"/>
                <w:szCs w:val="16"/>
              </w:rPr>
              <w:t>（五年新高）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B63976C" w14:textId="77777777" w:rsidR="00166CE4" w:rsidRDefault="00D675AC">
            <w:pPr>
              <w:spacing w:line="222" w:lineRule="auto"/>
              <w:jc w:val="center"/>
            </w:pPr>
            <w:proofErr w:type="gramStart"/>
            <w:r>
              <w:rPr>
                <w:color w:val="000000"/>
                <w:sz w:val="16"/>
                <w:szCs w:val="16"/>
              </w:rPr>
              <w:t>上市</w:t>
            </w:r>
            <w:r>
              <w:rPr>
                <w:color w:val="000000"/>
                <w:sz w:val="16"/>
                <w:szCs w:val="16"/>
              </w:rPr>
              <w:t xml:space="preserve"> 4.5% vs </w:t>
            </w:r>
            <w:proofErr w:type="gramEnd"/>
            <w:r>
              <w:rPr>
                <w:color w:val="000000"/>
                <w:sz w:val="16"/>
                <w:szCs w:val="16"/>
              </w:rPr>
              <w:t>非</w:t>
            </w:r>
            <w:proofErr w:type="gramStart"/>
            <w:r>
              <w:rPr>
                <w:color w:val="000000"/>
                <w:sz w:val="16"/>
                <w:szCs w:val="16"/>
              </w:rPr>
              <w:t>上市</w:t>
            </w:r>
            <w:r>
              <w:rPr>
                <w:color w:val="000000"/>
                <w:sz w:val="16"/>
                <w:szCs w:val="16"/>
              </w:rPr>
              <w:t xml:space="preserve"> 2.0%</w:t>
            </w:r>
            <w:proofErr w:type="gramEnd"/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6B4B7CB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↑</w:t>
            </w:r>
          </w:p>
        </w:tc>
      </w:tr>
      <w:tr w:rsidR="00166CE4" w14:paraId="49C422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ADC316A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PIK </w:t>
            </w:r>
            <w:r>
              <w:rPr>
                <w:color w:val="000000"/>
                <w:sz w:val="16"/>
                <w:szCs w:val="16"/>
              </w:rPr>
              <w:t>收入占比</w:t>
            </w:r>
          </w:p>
        </w:tc>
        <w:tc>
          <w:tcPr>
            <w:tcW w:w="2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C606024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平均</w:t>
            </w:r>
            <w:r>
              <w:rPr>
                <w:color w:val="000000"/>
                <w:sz w:val="16"/>
                <w:szCs w:val="16"/>
              </w:rPr>
              <w:t xml:space="preserve"> 6.4%</w:t>
            </w:r>
          </w:p>
        </w:tc>
        <w:tc>
          <w:tcPr>
            <w:tcW w:w="27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854F422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劣质集中：</w:t>
            </w:r>
            <w:r>
              <w:rPr>
                <w:color w:val="000000"/>
                <w:sz w:val="16"/>
                <w:szCs w:val="16"/>
              </w:rPr>
              <w:t>IT 8.4%</w:t>
            </w:r>
            <w:r>
              <w:rPr>
                <w:color w:val="000000"/>
                <w:sz w:val="16"/>
                <w:szCs w:val="16"/>
              </w:rPr>
              <w:t>、</w:t>
            </w:r>
            <w:proofErr w:type="gramStart"/>
            <w:r>
              <w:rPr>
                <w:color w:val="000000"/>
                <w:sz w:val="16"/>
                <w:szCs w:val="16"/>
              </w:rPr>
              <w:t>医疗</w:t>
            </w:r>
            <w:r>
              <w:rPr>
                <w:color w:val="000000"/>
                <w:sz w:val="16"/>
                <w:szCs w:val="16"/>
              </w:rPr>
              <w:t xml:space="preserve"> 8.0%</w:t>
            </w:r>
            <w:proofErr w:type="gramEnd"/>
          </w:p>
        </w:tc>
        <w:tc>
          <w:tcPr>
            <w:tcW w:w="18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E2698E4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↑</w:t>
            </w:r>
          </w:p>
        </w:tc>
      </w:tr>
    </w:tbl>
    <w:p w14:paraId="04788A6A" w14:textId="77777777" w:rsidR="00166CE4" w:rsidRDefault="00D675AC">
      <w:pPr>
        <w:spacing w:before="24" w:after="40" w:line="230" w:lineRule="auto"/>
      </w:pPr>
      <w:r>
        <w:rPr>
          <w:i/>
          <w:iCs/>
          <w:color w:val="5A6B7B"/>
          <w:sz w:val="13"/>
          <w:szCs w:val="13"/>
        </w:rPr>
        <w:t>违约率区间为</w:t>
      </w:r>
      <w:r>
        <w:rPr>
          <w:i/>
          <w:iCs/>
          <w:color w:val="5A6B7B"/>
          <w:sz w:val="13"/>
          <w:szCs w:val="13"/>
        </w:rPr>
        <w:t xml:space="preserve"> KBRA DLD </w:t>
      </w:r>
      <w:proofErr w:type="gramStart"/>
      <w:r>
        <w:rPr>
          <w:i/>
          <w:iCs/>
          <w:color w:val="5A6B7B"/>
          <w:sz w:val="13"/>
          <w:szCs w:val="13"/>
        </w:rPr>
        <w:t xml:space="preserve">1.6% </w:t>
      </w:r>
      <w:r>
        <w:rPr>
          <w:i/>
          <w:iCs/>
          <w:color w:val="5A6B7B"/>
          <w:sz w:val="13"/>
          <w:szCs w:val="13"/>
        </w:rPr>
        <w:t>至</w:t>
      </w:r>
      <w:r>
        <w:rPr>
          <w:i/>
          <w:iCs/>
          <w:color w:val="5A6B7B"/>
          <w:sz w:val="13"/>
          <w:szCs w:val="13"/>
        </w:rPr>
        <w:t xml:space="preserve"> </w:t>
      </w:r>
      <w:proofErr w:type="gramEnd"/>
      <w:r>
        <w:rPr>
          <w:i/>
          <w:iCs/>
          <w:color w:val="5A6B7B"/>
          <w:sz w:val="13"/>
          <w:szCs w:val="13"/>
        </w:rPr>
        <w:t>Fitch 6.0%</w:t>
      </w:r>
      <w:r>
        <w:rPr>
          <w:i/>
          <w:iCs/>
          <w:color w:val="5A6B7B"/>
          <w:sz w:val="13"/>
          <w:szCs w:val="13"/>
        </w:rPr>
        <w:t>（</w:t>
      </w:r>
      <w:r>
        <w:rPr>
          <w:i/>
          <w:iCs/>
          <w:color w:val="5A6B7B"/>
          <w:sz w:val="13"/>
          <w:szCs w:val="13"/>
        </w:rPr>
        <w:t xml:space="preserve">2026 </w:t>
      </w:r>
      <w:proofErr w:type="gramStart"/>
      <w:r>
        <w:rPr>
          <w:i/>
          <w:iCs/>
          <w:color w:val="5A6B7B"/>
          <w:sz w:val="13"/>
          <w:szCs w:val="13"/>
        </w:rPr>
        <w:t>年</w:t>
      </w:r>
      <w:r>
        <w:rPr>
          <w:i/>
          <w:iCs/>
          <w:color w:val="5A6B7B"/>
          <w:sz w:val="13"/>
          <w:szCs w:val="13"/>
        </w:rPr>
        <w:t xml:space="preserve"> 4 </w:t>
      </w:r>
      <w:proofErr w:type="gramEnd"/>
      <w:r>
        <w:rPr>
          <w:i/>
          <w:iCs/>
          <w:color w:val="5A6B7B"/>
          <w:sz w:val="13"/>
          <w:szCs w:val="13"/>
        </w:rPr>
        <w:t>月读数；</w:t>
      </w:r>
      <w:r>
        <w:rPr>
          <w:i/>
          <w:iCs/>
          <w:color w:val="5A6B7B"/>
          <w:sz w:val="13"/>
          <w:szCs w:val="13"/>
        </w:rPr>
        <w:t xml:space="preserve">Q1 </w:t>
      </w:r>
      <w:r>
        <w:rPr>
          <w:i/>
          <w:iCs/>
          <w:color w:val="5A6B7B"/>
          <w:sz w:val="13"/>
          <w:szCs w:val="13"/>
        </w:rPr>
        <w:t>口径</w:t>
      </w:r>
      <w:r>
        <w:rPr>
          <w:i/>
          <w:iCs/>
          <w:color w:val="5A6B7B"/>
          <w:sz w:val="13"/>
          <w:szCs w:val="13"/>
        </w:rPr>
        <w:t xml:space="preserve"> Fitch 5.7%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S&amp;P 4.4%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Lincoln 3.1%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Proskauer 2.7%</w:t>
      </w:r>
      <w:r>
        <w:rPr>
          <w:i/>
          <w:iCs/>
          <w:color w:val="5A6B7B"/>
          <w:sz w:val="13"/>
          <w:szCs w:val="13"/>
        </w:rPr>
        <w:t>）。五家口径定义与样本差异显著，</w:t>
      </w:r>
      <w:r>
        <w:rPr>
          <w:i/>
          <w:iCs/>
          <w:color w:val="5A6B7B"/>
          <w:sz w:val="13"/>
          <w:szCs w:val="13"/>
        </w:rPr>
        <w:t xml:space="preserve">Q1 </w:t>
      </w:r>
      <w:r>
        <w:rPr>
          <w:i/>
          <w:iCs/>
          <w:color w:val="5A6B7B"/>
          <w:sz w:val="13"/>
          <w:szCs w:val="13"/>
        </w:rPr>
        <w:t>方向亦不一致：</w:t>
      </w:r>
      <w:r>
        <w:rPr>
          <w:i/>
          <w:iCs/>
          <w:color w:val="5A6B7B"/>
          <w:sz w:val="13"/>
          <w:szCs w:val="13"/>
        </w:rPr>
        <w:t xml:space="preserve">Fitch </w:t>
      </w:r>
      <w:r>
        <w:rPr>
          <w:i/>
          <w:iCs/>
          <w:color w:val="5A6B7B"/>
          <w:sz w:val="13"/>
          <w:szCs w:val="13"/>
        </w:rPr>
        <w:t>与</w:t>
      </w:r>
      <w:r>
        <w:rPr>
          <w:i/>
          <w:iCs/>
          <w:color w:val="5A6B7B"/>
          <w:sz w:val="13"/>
          <w:szCs w:val="13"/>
        </w:rPr>
        <w:t xml:space="preserve"> Proskauer </w:t>
      </w:r>
      <w:r>
        <w:rPr>
          <w:i/>
          <w:iCs/>
          <w:color w:val="5A6B7B"/>
          <w:sz w:val="13"/>
          <w:szCs w:val="13"/>
        </w:rPr>
        <w:t>上升，</w:t>
      </w:r>
      <w:r>
        <w:rPr>
          <w:i/>
          <w:iCs/>
          <w:color w:val="5A6B7B"/>
          <w:sz w:val="13"/>
          <w:szCs w:val="13"/>
        </w:rPr>
        <w:t>S&amp;P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KBRA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 xml:space="preserve">Lincoln </w:t>
      </w:r>
      <w:r>
        <w:rPr>
          <w:i/>
          <w:iCs/>
          <w:color w:val="5A6B7B"/>
          <w:sz w:val="13"/>
          <w:szCs w:val="13"/>
        </w:rPr>
        <w:t>下降。</w:t>
      </w:r>
    </w:p>
    <w:p w14:paraId="1F62B9DC" w14:textId="77777777" w:rsidR="00166CE4" w:rsidRDefault="00D675AC">
      <w:pPr>
        <w:spacing w:before="24" w:after="8"/>
        <w:jc w:val="center"/>
      </w:pPr>
      <w:r>
        <w:rPr>
          <w:noProof/>
        </w:rPr>
        <w:drawing>
          <wp:inline distT="0" distB="0" distL="0" distR="0" wp14:anchorId="668C4804" wp14:editId="6E0B540F">
            <wp:extent cx="2770717" cy="239289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606" cy="23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</w:rPr>
        <w:drawing>
          <wp:inline distT="0" distB="0" distL="0" distR="0" wp14:anchorId="3FEB4948" wp14:editId="5CE94B89">
            <wp:extent cx="2662879" cy="2299759"/>
            <wp:effectExtent l="0" t="0" r="4445" b="5715"/>
            <wp:docPr id="263418018" name="Picture 263418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24" cy="23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ECFD" w14:textId="77777777" w:rsidR="00166CE4" w:rsidRDefault="00D675AC">
      <w:pPr>
        <w:spacing w:after="28" w:line="230" w:lineRule="auto"/>
        <w:jc w:val="center"/>
      </w:pPr>
      <w:r>
        <w:rPr>
          <w:i/>
          <w:iCs/>
          <w:color w:val="5A6B7B"/>
          <w:sz w:val="13"/>
          <w:szCs w:val="13"/>
        </w:rPr>
        <w:t>左：直贷</w:t>
      </w:r>
      <w:r>
        <w:rPr>
          <w:i/>
          <w:iCs/>
          <w:color w:val="5A6B7B"/>
          <w:sz w:val="13"/>
          <w:szCs w:val="13"/>
        </w:rPr>
        <w:t xml:space="preserve"> vs BSL </w:t>
      </w:r>
      <w:r>
        <w:rPr>
          <w:i/>
          <w:iCs/>
          <w:color w:val="5A6B7B"/>
          <w:sz w:val="13"/>
          <w:szCs w:val="13"/>
        </w:rPr>
        <w:t>违约率（</w:t>
      </w:r>
      <w:r>
        <w:rPr>
          <w:i/>
          <w:iCs/>
          <w:color w:val="5A6B7B"/>
          <w:sz w:val="13"/>
          <w:szCs w:val="13"/>
        </w:rPr>
        <w:t xml:space="preserve">S&amp;P </w:t>
      </w:r>
      <w:proofErr w:type="gramStart"/>
      <w:r>
        <w:rPr>
          <w:i/>
          <w:iCs/>
          <w:color w:val="5A6B7B"/>
          <w:sz w:val="13"/>
          <w:szCs w:val="13"/>
        </w:rPr>
        <w:t>口径</w:t>
      </w:r>
      <w:r>
        <w:rPr>
          <w:i/>
          <w:iCs/>
          <w:color w:val="5A6B7B"/>
          <w:sz w:val="13"/>
          <w:szCs w:val="13"/>
        </w:rPr>
        <w:t xml:space="preserve"> 4.4% </w:t>
      </w:r>
      <w:proofErr w:type="gramEnd"/>
      <w:r>
        <w:rPr>
          <w:i/>
          <w:iCs/>
          <w:color w:val="5A6B7B"/>
          <w:sz w:val="13"/>
          <w:szCs w:val="13"/>
        </w:rPr>
        <w:t>vs 3.3%</w:t>
      </w:r>
      <w:r>
        <w:rPr>
          <w:i/>
          <w:iCs/>
          <w:color w:val="5A6B7B"/>
          <w:sz w:val="13"/>
          <w:szCs w:val="13"/>
        </w:rPr>
        <w:t>，五家口径中枢</w:t>
      </w:r>
      <w:proofErr w:type="gramStart"/>
      <w:r>
        <w:rPr>
          <w:i/>
          <w:iCs/>
          <w:color w:val="5A6B7B"/>
          <w:sz w:val="13"/>
          <w:szCs w:val="13"/>
        </w:rPr>
        <w:t>约</w:t>
      </w:r>
      <w:r>
        <w:rPr>
          <w:i/>
          <w:iCs/>
          <w:color w:val="5A6B7B"/>
          <w:sz w:val="13"/>
          <w:szCs w:val="13"/>
        </w:rPr>
        <w:t xml:space="preserve"> 4%</w:t>
      </w:r>
      <w:proofErr w:type="gramEnd"/>
      <w:r>
        <w:rPr>
          <w:i/>
          <w:iCs/>
          <w:color w:val="5A6B7B"/>
          <w:sz w:val="13"/>
          <w:szCs w:val="13"/>
        </w:rPr>
        <w:t>）；右：</w:t>
      </w:r>
      <w:r>
        <w:rPr>
          <w:i/>
          <w:iCs/>
          <w:color w:val="5A6B7B"/>
          <w:sz w:val="13"/>
          <w:szCs w:val="13"/>
        </w:rPr>
        <w:t xml:space="preserve">BDC </w:t>
      </w:r>
      <w:r>
        <w:rPr>
          <w:i/>
          <w:iCs/>
          <w:color w:val="5A6B7B"/>
          <w:sz w:val="13"/>
          <w:szCs w:val="13"/>
        </w:rPr>
        <w:t>非应计</w:t>
      </w:r>
      <w:proofErr w:type="gramStart"/>
      <w:r>
        <w:rPr>
          <w:i/>
          <w:iCs/>
          <w:color w:val="5A6B7B"/>
          <w:sz w:val="13"/>
          <w:szCs w:val="13"/>
        </w:rPr>
        <w:t>均值</w:t>
      </w:r>
      <w:r>
        <w:rPr>
          <w:i/>
          <w:iCs/>
          <w:color w:val="5A6B7B"/>
          <w:sz w:val="13"/>
          <w:szCs w:val="13"/>
        </w:rPr>
        <w:t xml:space="preserve"> 2.8% </w:t>
      </w:r>
      <w:proofErr w:type="gramEnd"/>
      <w:r>
        <w:rPr>
          <w:i/>
          <w:iCs/>
          <w:color w:val="5A6B7B"/>
          <w:sz w:val="13"/>
          <w:szCs w:val="13"/>
        </w:rPr>
        <w:t>创五年新高，</w:t>
      </w:r>
      <w:r>
        <w:rPr>
          <w:i/>
          <w:iCs/>
          <w:color w:val="5A6B7B"/>
          <w:sz w:val="13"/>
          <w:szCs w:val="13"/>
        </w:rPr>
        <w:t>&gt;</w:t>
      </w:r>
      <w:proofErr w:type="gramStart"/>
      <w:r>
        <w:rPr>
          <w:i/>
          <w:iCs/>
          <w:color w:val="5A6B7B"/>
          <w:sz w:val="13"/>
          <w:szCs w:val="13"/>
        </w:rPr>
        <w:t xml:space="preserve">8% </w:t>
      </w:r>
      <w:r>
        <w:rPr>
          <w:i/>
          <w:iCs/>
          <w:color w:val="5A6B7B"/>
          <w:sz w:val="13"/>
          <w:szCs w:val="13"/>
        </w:rPr>
        <w:t>尾部</w:t>
      </w:r>
      <w:proofErr w:type="gramEnd"/>
      <w:r>
        <w:rPr>
          <w:i/>
          <w:iCs/>
          <w:color w:val="5A6B7B"/>
          <w:sz w:val="13"/>
          <w:szCs w:val="13"/>
        </w:rPr>
        <w:t>占比升</w:t>
      </w:r>
      <w:proofErr w:type="gramStart"/>
      <w:r>
        <w:rPr>
          <w:i/>
          <w:iCs/>
          <w:color w:val="5A6B7B"/>
          <w:sz w:val="13"/>
          <w:szCs w:val="13"/>
        </w:rPr>
        <w:t>至</w:t>
      </w:r>
      <w:r>
        <w:rPr>
          <w:i/>
          <w:iCs/>
          <w:color w:val="5A6B7B"/>
          <w:sz w:val="13"/>
          <w:szCs w:val="13"/>
        </w:rPr>
        <w:t xml:space="preserve"> 10.7%</w:t>
      </w:r>
      <w:proofErr w:type="gramEnd"/>
      <w:r>
        <w:rPr>
          <w:i/>
          <w:iCs/>
          <w:color w:val="5A6B7B"/>
          <w:sz w:val="13"/>
          <w:szCs w:val="13"/>
        </w:rPr>
        <w:t>——</w:t>
      </w:r>
      <w:r>
        <w:rPr>
          <w:i/>
          <w:iCs/>
          <w:color w:val="5A6B7B"/>
          <w:sz w:val="13"/>
          <w:szCs w:val="13"/>
        </w:rPr>
        <w:t>恶化集中在尾部。</w:t>
      </w:r>
    </w:p>
    <w:p w14:paraId="10E47EF3" w14:textId="77777777" w:rsidR="00D268C3" w:rsidRPr="00D268C3" w:rsidRDefault="00D268C3">
      <w:pPr>
        <w:spacing w:before="28" w:after="20" w:line="230" w:lineRule="auto"/>
        <w:rPr>
          <w:b/>
          <w:bCs/>
          <w:color w:val="1F3B5B"/>
          <w:sz w:val="14"/>
          <w:szCs w:val="14"/>
        </w:rPr>
      </w:pPr>
    </w:p>
    <w:p w14:paraId="52106500" w14:textId="7D03ABD8" w:rsidR="00166CE4" w:rsidRDefault="00D675AC">
      <w:pPr>
        <w:spacing w:before="28" w:after="20" w:line="230" w:lineRule="auto"/>
      </w:pPr>
      <w:r>
        <w:rPr>
          <w:b/>
          <w:bCs/>
          <w:color w:val="1F3B5B"/>
          <w:sz w:val="22"/>
          <w:szCs w:val="22"/>
        </w:rPr>
        <w:t>1. Key News</w:t>
      </w:r>
      <w:r>
        <w:rPr>
          <w:b/>
          <w:bCs/>
          <w:color w:val="1F3B5B"/>
          <w:sz w:val="22"/>
          <w:szCs w:val="22"/>
        </w:rPr>
        <w:t>（本季关键事件）</w:t>
      </w:r>
    </w:p>
    <w:p w14:paraId="59FF8897" w14:textId="18324D6C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 xml:space="preserve">Medallia </w:t>
      </w:r>
      <w:r>
        <w:rPr>
          <w:b/>
          <w:bCs/>
          <w:color w:val="000000"/>
        </w:rPr>
        <w:t>债转控制权</w:t>
      </w:r>
      <w:r>
        <w:rPr>
          <w:b/>
          <w:bCs/>
          <w:color w:val="000000"/>
        </w:rPr>
        <w:t xml:space="preserve"> — </w:t>
      </w:r>
      <w:r>
        <w:rPr>
          <w:b/>
          <w:bCs/>
          <w:color w:val="000000"/>
        </w:rPr>
        <w:t>软件私募信贷首个大型实测回收案例</w:t>
      </w:r>
      <w:r>
        <w:rPr>
          <w:color w:val="000000"/>
        </w:rPr>
        <w:t>：软件占</w:t>
      </w:r>
      <w:r>
        <w:rPr>
          <w:color w:val="000000"/>
        </w:rPr>
        <w:t xml:space="preserve"> BDC </w:t>
      </w:r>
      <w:r>
        <w:rPr>
          <w:color w:val="000000"/>
        </w:rPr>
        <w:t>抵押资产约</w:t>
      </w:r>
      <w:r>
        <w:rPr>
          <w:color w:val="000000"/>
        </w:rPr>
        <w:t xml:space="preserve"> 26%</w:t>
      </w:r>
      <w:r>
        <w:rPr>
          <w:color w:val="000000"/>
        </w:rPr>
        <w:t>，已实现违约率仅</w:t>
      </w:r>
      <w:r>
        <w:rPr>
          <w:color w:val="000000"/>
        </w:rPr>
        <w:t xml:space="preserve"> 2.3%</w:t>
      </w:r>
      <w:r>
        <w:rPr>
          <w:color w:val="000000"/>
        </w:rPr>
        <w:t>（全资产类别</w:t>
      </w:r>
      <w:r>
        <w:rPr>
          <w:color w:val="000000"/>
        </w:rPr>
        <w:t xml:space="preserve"> 5.7%</w:t>
      </w:r>
      <w:r>
        <w:rPr>
          <w:color w:val="000000"/>
        </w:rPr>
        <w:t>），恐慌尚未被数据验证；但隐含回收率约</w:t>
      </w:r>
      <w:r>
        <w:rPr>
          <w:color w:val="000000"/>
        </w:rPr>
        <w:t xml:space="preserve"> 48 </w:t>
      </w:r>
      <w:r>
        <w:rPr>
          <w:color w:val="000000"/>
        </w:rPr>
        <w:t>点偏低，</w:t>
      </w:r>
      <w:r w:rsidR="00D268C3">
        <w:rPr>
          <w:rFonts w:hint="eastAsia"/>
          <w:color w:val="000000"/>
        </w:rPr>
        <w:t>关注点</w:t>
      </w:r>
      <w:r>
        <w:rPr>
          <w:color w:val="000000"/>
        </w:rPr>
        <w:t>已从行业性重定价转为单一发行人分化。</w:t>
      </w:r>
    </w:p>
    <w:p w14:paraId="3B27EFA8" w14:textId="77777777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 xml:space="preserve">2028 </w:t>
      </w:r>
      <w:r>
        <w:rPr>
          <w:b/>
          <w:bCs/>
          <w:color w:val="000000"/>
        </w:rPr>
        <w:t>年到期墙没有缩小，只是被推后</w:t>
      </w:r>
      <w:r>
        <w:rPr>
          <w:color w:val="000000"/>
        </w:rPr>
        <w:t>：</w:t>
      </w:r>
      <w:r>
        <w:rPr>
          <w:color w:val="000000"/>
        </w:rPr>
        <w:t xml:space="preserve">2028–2030 </w:t>
      </w:r>
      <w:r>
        <w:rPr>
          <w:color w:val="000000"/>
        </w:rPr>
        <w:t>年每年约</w:t>
      </w:r>
      <w:r>
        <w:rPr>
          <w:color w:val="000000"/>
        </w:rPr>
        <w:t xml:space="preserve"> $80bn </w:t>
      </w:r>
      <w:r>
        <w:rPr>
          <w:color w:val="000000"/>
        </w:rPr>
        <w:t>到期；本季</w:t>
      </w:r>
      <w:r>
        <w:rPr>
          <w:color w:val="000000"/>
        </w:rPr>
        <w:t xml:space="preserve"> 2031–33 </w:t>
      </w:r>
      <w:r>
        <w:rPr>
          <w:color w:val="000000"/>
        </w:rPr>
        <w:t>年到期桶从约</w:t>
      </w:r>
      <w:r>
        <w:rPr>
          <w:color w:val="000000"/>
        </w:rPr>
        <w:t xml:space="preserve"> $194bn </w:t>
      </w:r>
      <w:r>
        <w:rPr>
          <w:color w:val="000000"/>
        </w:rPr>
        <w:t>增至</w:t>
      </w:r>
      <w:r>
        <w:rPr>
          <w:color w:val="000000"/>
        </w:rPr>
        <w:t xml:space="preserve"> $207bn </w:t>
      </w:r>
      <w:r>
        <w:rPr>
          <w:color w:val="000000"/>
        </w:rPr>
        <w:t>而</w:t>
      </w:r>
      <w:r>
        <w:rPr>
          <w:color w:val="000000"/>
        </w:rPr>
        <w:t xml:space="preserve"> 2026–27 </w:t>
      </w:r>
      <w:r>
        <w:rPr>
          <w:color w:val="000000"/>
        </w:rPr>
        <w:t>年减少</w:t>
      </w:r>
      <w:r>
        <w:rPr>
          <w:color w:val="000000"/>
        </w:rPr>
        <w:t>——A&amp;E</w:t>
      </w:r>
      <w:r>
        <w:rPr>
          <w:color w:val="000000"/>
        </w:rPr>
        <w:t>（修改并延期）在推迟而非解决问题。</w:t>
      </w:r>
      <w:r>
        <w:rPr>
          <w:color w:val="000000"/>
        </w:rPr>
        <w:t xml:space="preserve">2021–22 </w:t>
      </w:r>
      <w:r>
        <w:rPr>
          <w:color w:val="000000"/>
        </w:rPr>
        <w:t>年份停止计息余额约为</w:t>
      </w:r>
      <w:r>
        <w:rPr>
          <w:color w:val="000000"/>
        </w:rPr>
        <w:t xml:space="preserve"> 2024 </w:t>
      </w:r>
      <w:r>
        <w:rPr>
          <w:color w:val="000000"/>
        </w:rPr>
        <w:t>年份的</w:t>
      </w:r>
      <w:r>
        <w:rPr>
          <w:color w:val="000000"/>
        </w:rPr>
        <w:t xml:space="preserve"> 3 </w:t>
      </w:r>
      <w:r>
        <w:rPr>
          <w:color w:val="000000"/>
        </w:rPr>
        <w:t>倍，到期墙正砸在最弱的一批资产上。</w:t>
      </w:r>
    </w:p>
    <w:p w14:paraId="0621E1F7" w14:textId="77777777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地缘冲击令投放骤降</w:t>
      </w:r>
      <w:r>
        <w:rPr>
          <w:color w:val="000000"/>
        </w:rPr>
        <w:t>：伊朗战争与霍尔木兹海峡关闭令并购停摆</w:t>
      </w:r>
      <w:r>
        <w:rPr>
          <w:color w:val="000000"/>
        </w:rPr>
        <w:t xml:space="preserve">——Q2 </w:t>
      </w:r>
      <w:r>
        <w:rPr>
          <w:color w:val="000000"/>
        </w:rPr>
        <w:t>新增放贷仅</w:t>
      </w:r>
      <w:r>
        <w:rPr>
          <w:color w:val="000000"/>
        </w:rPr>
        <w:t xml:space="preserve"> $33bn / 149 </w:t>
      </w:r>
      <w:r>
        <w:rPr>
          <w:color w:val="000000"/>
        </w:rPr>
        <w:t>笔（</w:t>
      </w:r>
      <w:r>
        <w:rPr>
          <w:color w:val="000000"/>
        </w:rPr>
        <w:t xml:space="preserve">Q1 </w:t>
      </w:r>
      <w:r>
        <w:rPr>
          <w:color w:val="000000"/>
        </w:rPr>
        <w:t>为</w:t>
      </w:r>
      <w:r>
        <w:rPr>
          <w:color w:val="000000"/>
        </w:rPr>
        <w:t xml:space="preserve"> $74.1bn / 217 </w:t>
      </w:r>
      <w:r>
        <w:rPr>
          <w:color w:val="000000"/>
        </w:rPr>
        <w:t>笔），年初至今约</w:t>
      </w:r>
      <w:r>
        <w:rPr>
          <w:color w:val="000000"/>
        </w:rPr>
        <w:t xml:space="preserve"> $87bn</w:t>
      </w:r>
      <w:r>
        <w:rPr>
          <w:color w:val="000000"/>
        </w:rPr>
        <w:t>（同比</w:t>
      </w:r>
      <w:r>
        <w:rPr>
          <w:color w:val="000000"/>
        </w:rPr>
        <w:t xml:space="preserve"> −24%</w:t>
      </w:r>
      <w:r>
        <w:rPr>
          <w:color w:val="000000"/>
        </w:rPr>
        <w:t>），再融资占比稳定在约</w:t>
      </w:r>
      <w:r>
        <w:rPr>
          <w:color w:val="000000"/>
        </w:rPr>
        <w:t xml:space="preserve"> 40%</w:t>
      </w:r>
      <w:r>
        <w:rPr>
          <w:color w:val="000000"/>
        </w:rPr>
        <w:t>。</w:t>
      </w:r>
    </w:p>
    <w:p w14:paraId="5CE683B7" w14:textId="77777777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当前或是本轮周期条款最好的投放窗口</w:t>
      </w:r>
      <w:r>
        <w:rPr>
          <w:color w:val="000000"/>
        </w:rPr>
        <w:t>：非交易型</w:t>
      </w:r>
      <w:r>
        <w:rPr>
          <w:color w:val="000000"/>
        </w:rPr>
        <w:t xml:space="preserve"> BDC </w:t>
      </w:r>
      <w:r>
        <w:rPr>
          <w:color w:val="000000"/>
        </w:rPr>
        <w:t>因赎回压力压缩单笔规模并撤出软件，竞争减少令利差走阔</w:t>
      </w:r>
      <w:r>
        <w:rPr>
          <w:color w:val="000000"/>
        </w:rPr>
        <w:t xml:space="preserve"> 25–50bp</w:t>
      </w:r>
      <w:r>
        <w:rPr>
          <w:color w:val="000000"/>
        </w:rPr>
        <w:t>、契约与</w:t>
      </w:r>
      <w:r>
        <w:rPr>
          <w:color w:val="000000"/>
        </w:rPr>
        <w:t xml:space="preserve"> LTV </w:t>
      </w:r>
      <w:r>
        <w:rPr>
          <w:color w:val="000000"/>
        </w:rPr>
        <w:t>同步改善；零售仅占</w:t>
      </w:r>
      <w:r>
        <w:rPr>
          <w:color w:val="000000"/>
        </w:rPr>
        <w:t xml:space="preserve"> AUM </w:t>
      </w:r>
      <w:r>
        <w:rPr>
          <w:color w:val="000000"/>
        </w:rPr>
        <w:t>约</w:t>
      </w:r>
      <w:r>
        <w:rPr>
          <w:color w:val="000000"/>
        </w:rPr>
        <w:t xml:space="preserve"> 20%</w:t>
      </w:r>
      <w:r>
        <w:rPr>
          <w:color w:val="000000"/>
        </w:rPr>
        <w:t>，机构资金正在回流。</w:t>
      </w:r>
    </w:p>
    <w:p w14:paraId="1257EC29" w14:textId="77777777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私募信贷二级交易已成规模</w:t>
      </w:r>
      <w:r>
        <w:rPr>
          <w:color w:val="000000"/>
        </w:rPr>
        <w:t>：</w:t>
      </w:r>
      <w:r>
        <w:rPr>
          <w:color w:val="000000"/>
        </w:rPr>
        <w:t xml:space="preserve">JPM </w:t>
      </w:r>
      <w:r>
        <w:rPr>
          <w:color w:val="000000"/>
        </w:rPr>
        <w:t>口径约</w:t>
      </w:r>
      <w:r>
        <w:rPr>
          <w:color w:val="000000"/>
        </w:rPr>
        <w:t xml:space="preserve"> $2bn</w:t>
      </w:r>
      <w:r>
        <w:rPr>
          <w:color w:val="000000"/>
        </w:rPr>
        <w:t>，成交价从面值到</w:t>
      </w:r>
      <w:r>
        <w:rPr>
          <w:color w:val="000000"/>
        </w:rPr>
        <w:t xml:space="preserve"> −10 </w:t>
      </w:r>
      <w:r>
        <w:rPr>
          <w:color w:val="000000"/>
        </w:rPr>
        <w:t>点</w:t>
      </w:r>
      <w:r>
        <w:rPr>
          <w:color w:val="000000"/>
        </w:rPr>
        <w:t>——</w:t>
      </w:r>
      <w:r>
        <w:rPr>
          <w:color w:val="000000"/>
        </w:rPr>
        <w:t>首次为基金季度估值提供了可交叉验证的市场价格。</w:t>
      </w:r>
    </w:p>
    <w:p w14:paraId="3C043D10" w14:textId="77777777" w:rsidR="00D268C3" w:rsidRPr="00D268C3" w:rsidRDefault="00D268C3">
      <w:pPr>
        <w:spacing w:before="28" w:after="20" w:line="230" w:lineRule="auto"/>
        <w:rPr>
          <w:b/>
          <w:bCs/>
          <w:color w:val="1F3B5B"/>
          <w:sz w:val="14"/>
          <w:szCs w:val="14"/>
        </w:rPr>
      </w:pPr>
    </w:p>
    <w:p w14:paraId="520B8ADB" w14:textId="28E6DEF6" w:rsidR="00166CE4" w:rsidRDefault="00D675AC">
      <w:pPr>
        <w:spacing w:before="28" w:after="20" w:line="230" w:lineRule="auto"/>
      </w:pPr>
      <w:r>
        <w:rPr>
          <w:b/>
          <w:bCs/>
          <w:color w:val="1F3B5B"/>
          <w:sz w:val="22"/>
          <w:szCs w:val="22"/>
        </w:rPr>
        <w:t>2. Market Trend</w:t>
      </w:r>
      <w:r>
        <w:rPr>
          <w:b/>
          <w:bCs/>
          <w:color w:val="1F3B5B"/>
          <w:sz w:val="22"/>
          <w:szCs w:val="22"/>
        </w:rPr>
        <w:t>（市场量化趋势）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2268"/>
        <w:gridCol w:w="5005"/>
      </w:tblGrid>
      <w:tr w:rsidR="00166CE4" w14:paraId="1E0FD165" w14:textId="77777777" w:rsidTr="00D268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FDAC29C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市场指标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668A65A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读数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7C28FB5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解读</w:t>
            </w:r>
          </w:p>
        </w:tc>
      </w:tr>
      <w:tr w:rsidR="00166CE4" w14:paraId="4C743BD9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FE0E3D6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全球私募债权</w:t>
            </w:r>
            <w:r>
              <w:rPr>
                <w:color w:val="000000"/>
                <w:sz w:val="16"/>
                <w:szCs w:val="16"/>
              </w:rPr>
              <w:t xml:space="preserve"> AUM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19161E8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$2.56tn</w:t>
            </w:r>
            <w:r>
              <w:rPr>
                <w:color w:val="000000"/>
                <w:sz w:val="16"/>
                <w:szCs w:val="16"/>
              </w:rPr>
              <w:t>（机构</w:t>
            </w:r>
            <w:r>
              <w:rPr>
                <w:color w:val="000000"/>
                <w:sz w:val="16"/>
                <w:szCs w:val="16"/>
              </w:rPr>
              <w:t xml:space="preserve"> 77%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165E0F7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美国杠杆</w:t>
            </w:r>
            <w:proofErr w:type="gramStart"/>
            <w:r>
              <w:rPr>
                <w:color w:val="000000"/>
                <w:sz w:val="16"/>
                <w:szCs w:val="16"/>
              </w:rPr>
              <w:t>信贷</w:t>
            </w:r>
            <w:r>
              <w:rPr>
                <w:color w:val="000000"/>
                <w:sz w:val="16"/>
                <w:szCs w:val="16"/>
              </w:rPr>
              <w:t xml:space="preserve"> $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4.4tn </w:t>
            </w:r>
            <w:r>
              <w:rPr>
                <w:color w:val="000000"/>
                <w:sz w:val="16"/>
                <w:szCs w:val="16"/>
              </w:rPr>
              <w:t>中私募</w:t>
            </w:r>
            <w:proofErr w:type="gramStart"/>
            <w:r>
              <w:rPr>
                <w:color w:val="000000"/>
                <w:sz w:val="16"/>
                <w:szCs w:val="16"/>
              </w:rPr>
              <w:t>信贷</w:t>
            </w:r>
            <w:r>
              <w:rPr>
                <w:color w:val="000000"/>
                <w:sz w:val="16"/>
                <w:szCs w:val="16"/>
              </w:rPr>
              <w:t xml:space="preserve"> $</w:t>
            </w:r>
            <w:proofErr w:type="gramEnd"/>
            <w:r>
              <w:rPr>
                <w:color w:val="000000"/>
                <w:sz w:val="16"/>
                <w:szCs w:val="16"/>
              </w:rPr>
              <w:t>1.4tn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32%</w:t>
            </w:r>
            <w:r>
              <w:rPr>
                <w:color w:val="000000"/>
                <w:sz w:val="16"/>
                <w:szCs w:val="16"/>
              </w:rPr>
              <w:t>），</w:t>
            </w:r>
            <w:r>
              <w:rPr>
                <w:color w:val="000000"/>
                <w:sz w:val="16"/>
                <w:szCs w:val="16"/>
              </w:rPr>
              <w:t xml:space="preserve">BDC </w:t>
            </w:r>
            <w:r>
              <w:rPr>
                <w:color w:val="000000"/>
                <w:sz w:val="16"/>
                <w:szCs w:val="16"/>
              </w:rPr>
              <w:t>持有</w:t>
            </w:r>
            <w:proofErr w:type="gramStart"/>
            <w:r>
              <w:rPr>
                <w:color w:val="000000"/>
                <w:sz w:val="16"/>
                <w:szCs w:val="16"/>
              </w:rPr>
              <w:t>其中</w:t>
            </w:r>
            <w:r>
              <w:rPr>
                <w:color w:val="000000"/>
                <w:sz w:val="16"/>
                <w:szCs w:val="16"/>
              </w:rPr>
              <w:t xml:space="preserve"> 38%</w:t>
            </w:r>
            <w:proofErr w:type="gramEnd"/>
          </w:p>
        </w:tc>
      </w:tr>
      <w:tr w:rsidR="00166CE4" w14:paraId="62CCF768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228BEB0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待投资金（</w:t>
            </w:r>
            <w:r>
              <w:rPr>
                <w:color w:val="000000"/>
                <w:sz w:val="16"/>
                <w:szCs w:val="16"/>
              </w:rPr>
              <w:t>dry powder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0282B06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$618bn</w:t>
            </w:r>
            <w:r>
              <w:rPr>
                <w:color w:val="000000"/>
                <w:sz w:val="16"/>
                <w:szCs w:val="16"/>
              </w:rPr>
              <w:t>，已过峰值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0074AC9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2025 </w:t>
            </w:r>
            <w:r>
              <w:rPr>
                <w:color w:val="000000"/>
                <w:sz w:val="16"/>
                <w:szCs w:val="16"/>
              </w:rPr>
              <w:t>募资</w:t>
            </w:r>
            <w:r>
              <w:rPr>
                <w:color w:val="000000"/>
                <w:sz w:val="16"/>
                <w:szCs w:val="16"/>
              </w:rPr>
              <w:t xml:space="preserve"> $221bn / 206 </w:t>
            </w:r>
            <w:r>
              <w:rPr>
                <w:color w:val="000000"/>
                <w:sz w:val="16"/>
                <w:szCs w:val="16"/>
              </w:rPr>
              <w:t>只，较</w:t>
            </w:r>
            <w:r>
              <w:rPr>
                <w:color w:val="000000"/>
                <w:sz w:val="16"/>
                <w:szCs w:val="16"/>
              </w:rPr>
              <w:t xml:space="preserve"> 2021 </w:t>
            </w:r>
            <w:r>
              <w:rPr>
                <w:color w:val="000000"/>
                <w:sz w:val="16"/>
                <w:szCs w:val="16"/>
              </w:rPr>
              <w:t>峰值</w:t>
            </w:r>
            <w:r>
              <w:rPr>
                <w:color w:val="000000"/>
                <w:sz w:val="16"/>
                <w:szCs w:val="16"/>
              </w:rPr>
              <w:t xml:space="preserve"> −30% / −60%——</w:t>
            </w:r>
            <w:r>
              <w:rPr>
                <w:color w:val="000000"/>
                <w:sz w:val="16"/>
                <w:szCs w:val="16"/>
              </w:rPr>
              <w:t>增长从「募资驱动」转为「存量投放」</w:t>
            </w:r>
          </w:p>
        </w:tc>
      </w:tr>
      <w:tr w:rsidR="00166CE4" w14:paraId="7C87C7A2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C3C2A51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新增放贷（</w:t>
            </w:r>
            <w:r>
              <w:rPr>
                <w:color w:val="000000"/>
                <w:sz w:val="16"/>
                <w:szCs w:val="16"/>
              </w:rPr>
              <w:t>YTD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B3067F3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~$87bn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−</w:t>
            </w:r>
            <w:r>
              <w:rPr>
                <w:color w:val="000000"/>
                <w:sz w:val="16"/>
                <w:szCs w:val="16"/>
              </w:rPr>
              <w:t>24%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B10BF4C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量缩价稳：私募信贷仍</w:t>
            </w:r>
            <w:proofErr w:type="gramStart"/>
            <w:r>
              <w:rPr>
                <w:color w:val="000000"/>
                <w:sz w:val="16"/>
                <w:szCs w:val="16"/>
              </w:rPr>
              <w:t>为</w:t>
            </w:r>
            <w:r>
              <w:rPr>
                <w:color w:val="000000"/>
                <w:sz w:val="16"/>
                <w:szCs w:val="16"/>
              </w:rPr>
              <w:t xml:space="preserve"> 80</w:t>
            </w:r>
            <w:proofErr w:type="gramEnd"/>
            <w:r>
              <w:rPr>
                <w:color w:val="000000"/>
                <w:sz w:val="16"/>
                <w:szCs w:val="16"/>
              </w:rPr>
              <w:t>–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83% </w:t>
            </w:r>
            <w:r>
              <w:rPr>
                <w:color w:val="000000"/>
                <w:sz w:val="16"/>
                <w:szCs w:val="16"/>
              </w:rPr>
              <w:t>的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LBO </w:t>
            </w:r>
            <w:r>
              <w:rPr>
                <w:color w:val="000000"/>
                <w:sz w:val="16"/>
                <w:szCs w:val="16"/>
              </w:rPr>
              <w:t>提供融资</w:t>
            </w:r>
          </w:p>
        </w:tc>
      </w:tr>
      <w:tr w:rsidR="00166CE4" w14:paraId="6BF3A7CD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00289F7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单一档新发利差</w:t>
            </w:r>
            <w:r>
              <w:rPr>
                <w:color w:val="000000"/>
                <w:sz w:val="16"/>
                <w:szCs w:val="16"/>
              </w:rPr>
              <w:t xml:space="preserve"> vs </w:t>
            </w:r>
            <w:r>
              <w:rPr>
                <w:color w:val="000000"/>
                <w:sz w:val="16"/>
                <w:szCs w:val="16"/>
              </w:rPr>
              <w:t>单</w:t>
            </w:r>
            <w:r>
              <w:rPr>
                <w:color w:val="000000"/>
                <w:sz w:val="16"/>
                <w:szCs w:val="16"/>
              </w:rPr>
              <w:t xml:space="preserve"> B BSL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C7382CC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508bp vs 430bp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66DC38B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溢价</w:t>
            </w:r>
            <w:proofErr w:type="gramStart"/>
            <w:r>
              <w:rPr>
                <w:color w:val="000000"/>
                <w:sz w:val="16"/>
                <w:szCs w:val="16"/>
              </w:rPr>
              <w:t>约</w:t>
            </w:r>
            <w:r>
              <w:rPr>
                <w:color w:val="000000"/>
                <w:sz w:val="16"/>
                <w:szCs w:val="16"/>
              </w:rPr>
              <w:t xml:space="preserve"> 78bp</w:t>
            </w:r>
            <w:proofErr w:type="gramEnd"/>
            <w:r>
              <w:rPr>
                <w:color w:val="000000"/>
                <w:sz w:val="16"/>
                <w:szCs w:val="16"/>
              </w:rPr>
              <w:t>，已止窄回升</w:t>
            </w:r>
            <w:r>
              <w:rPr>
                <w:color w:val="000000"/>
                <w:sz w:val="16"/>
                <w:szCs w:val="16"/>
              </w:rPr>
              <w:t>——</w:t>
            </w:r>
            <w:r>
              <w:rPr>
                <w:color w:val="000000"/>
                <w:sz w:val="16"/>
                <w:szCs w:val="16"/>
              </w:rPr>
              <w:t>投放窗口的价格证据</w:t>
            </w:r>
          </w:p>
        </w:tc>
      </w:tr>
      <w:tr w:rsidR="00166CE4" w14:paraId="7D225B9C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D794A7F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条款分层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12BE10D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含契约</w:t>
            </w:r>
            <w:proofErr w:type="gramStart"/>
            <w:r>
              <w:rPr>
                <w:color w:val="000000"/>
                <w:sz w:val="16"/>
                <w:szCs w:val="16"/>
              </w:rPr>
              <w:t>仅</w:t>
            </w:r>
            <w:r>
              <w:rPr>
                <w:color w:val="000000"/>
                <w:sz w:val="16"/>
                <w:szCs w:val="16"/>
              </w:rPr>
              <w:t xml:space="preserve"> ~</w:t>
            </w:r>
            <w:proofErr w:type="gramEnd"/>
            <w:r>
              <w:rPr>
                <w:color w:val="000000"/>
                <w:sz w:val="16"/>
                <w:szCs w:val="16"/>
              </w:rPr>
              <w:t>37%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B656D63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中型市场</w:t>
            </w:r>
            <w:proofErr w:type="gramStart"/>
            <w:r>
              <w:rPr>
                <w:color w:val="000000"/>
                <w:sz w:val="16"/>
                <w:szCs w:val="16"/>
              </w:rPr>
              <w:t>上端</w:t>
            </w:r>
            <w:r>
              <w:rPr>
                <w:color w:val="000000"/>
                <w:sz w:val="16"/>
                <w:szCs w:val="16"/>
              </w:rPr>
              <w:t xml:space="preserve"> 2024 </w:t>
            </w:r>
            <w:proofErr w:type="gramEnd"/>
            <w:r>
              <w:rPr>
                <w:color w:val="000000"/>
                <w:sz w:val="16"/>
                <w:szCs w:val="16"/>
              </w:rPr>
              <w:t>年份（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2021 </w:t>
            </w:r>
            <w:r>
              <w:rPr>
                <w:color w:val="000000"/>
                <w:sz w:val="16"/>
                <w:szCs w:val="16"/>
              </w:rPr>
              <w:t>年</w:t>
            </w:r>
            <w:proofErr w:type="gramEnd"/>
            <w:r>
              <w:rPr>
                <w:color w:val="000000"/>
                <w:sz w:val="16"/>
                <w:szCs w:val="16"/>
              </w:rPr>
              <w:t>为</w:t>
            </w:r>
            <w:r>
              <w:rPr>
                <w:color w:val="000000"/>
                <w:sz w:val="16"/>
                <w:szCs w:val="16"/>
              </w:rPr>
              <w:t xml:space="preserve"> 54%</w:t>
            </w:r>
            <w:r>
              <w:rPr>
                <w:color w:val="000000"/>
                <w:sz w:val="16"/>
                <w:szCs w:val="16"/>
              </w:rPr>
              <w:t>）；含</w:t>
            </w:r>
            <w:r>
              <w:rPr>
                <w:color w:val="000000"/>
                <w:sz w:val="16"/>
                <w:szCs w:val="16"/>
              </w:rPr>
              <w:t xml:space="preserve"> PIK </w:t>
            </w:r>
            <w:r>
              <w:rPr>
                <w:color w:val="000000"/>
                <w:sz w:val="16"/>
                <w:szCs w:val="16"/>
              </w:rPr>
              <w:t>选择权比例升</w:t>
            </w:r>
            <w:proofErr w:type="gramStart"/>
            <w:r>
              <w:rPr>
                <w:color w:val="000000"/>
                <w:sz w:val="16"/>
                <w:szCs w:val="16"/>
              </w:rPr>
              <w:t>至</w:t>
            </w:r>
            <w:r>
              <w:rPr>
                <w:color w:val="000000"/>
                <w:sz w:val="16"/>
                <w:szCs w:val="16"/>
              </w:rPr>
              <w:t xml:space="preserve"> ~</w:t>
            </w:r>
            <w:proofErr w:type="gramEnd"/>
            <w:r>
              <w:rPr>
                <w:color w:val="000000"/>
                <w:sz w:val="16"/>
                <w:szCs w:val="16"/>
              </w:rPr>
              <w:t>41%</w:t>
            </w:r>
          </w:p>
        </w:tc>
      </w:tr>
      <w:tr w:rsidR="00166CE4" w14:paraId="59EED4CA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A215833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资产类别回报（</w:t>
            </w:r>
            <w:r>
              <w:rPr>
                <w:color w:val="000000"/>
                <w:sz w:val="16"/>
                <w:szCs w:val="16"/>
              </w:rPr>
              <w:t>2015–26/3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226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C415EFD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年</w:t>
            </w:r>
            <w:proofErr w:type="gramStart"/>
            <w:r>
              <w:rPr>
                <w:color w:val="000000"/>
                <w:sz w:val="16"/>
                <w:szCs w:val="16"/>
              </w:rPr>
              <w:t>化</w:t>
            </w:r>
            <w:r>
              <w:rPr>
                <w:color w:val="000000"/>
                <w:sz w:val="16"/>
                <w:szCs w:val="16"/>
              </w:rPr>
              <w:t xml:space="preserve"> 7.8% 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/ </w:t>
            </w:r>
            <w:r>
              <w:rPr>
                <w:color w:val="000000"/>
                <w:sz w:val="16"/>
                <w:szCs w:val="16"/>
              </w:rPr>
              <w:t>夏普</w:t>
            </w:r>
            <w:r>
              <w:rPr>
                <w:color w:val="000000"/>
                <w:sz w:val="16"/>
                <w:szCs w:val="16"/>
              </w:rPr>
              <w:t xml:space="preserve"> 3.6</w:t>
            </w:r>
          </w:p>
        </w:tc>
        <w:tc>
          <w:tcPr>
            <w:tcW w:w="500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2E5EE2B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公允值平滑：与</w:t>
            </w:r>
            <w:r>
              <w:rPr>
                <w:color w:val="000000"/>
                <w:sz w:val="16"/>
                <w:szCs w:val="16"/>
              </w:rPr>
              <w:t xml:space="preserve"> BSL </w:t>
            </w:r>
            <w:r>
              <w:rPr>
                <w:color w:val="000000"/>
                <w:sz w:val="16"/>
                <w:szCs w:val="16"/>
              </w:rPr>
              <w:t>相关</w:t>
            </w:r>
            <w:proofErr w:type="gramStart"/>
            <w:r>
              <w:rPr>
                <w:color w:val="000000"/>
                <w:sz w:val="16"/>
                <w:szCs w:val="16"/>
              </w:rPr>
              <w:t>性</w:t>
            </w:r>
            <w:r>
              <w:rPr>
                <w:color w:val="000000"/>
                <w:sz w:val="16"/>
                <w:szCs w:val="16"/>
              </w:rPr>
              <w:t xml:space="preserve"> 82.4%</w:t>
            </w:r>
            <w:proofErr w:type="gramEnd"/>
            <w:r>
              <w:rPr>
                <w:color w:val="000000"/>
                <w:sz w:val="16"/>
                <w:szCs w:val="16"/>
              </w:rPr>
              <w:t>；直贷</w:t>
            </w:r>
            <w:r>
              <w:rPr>
                <w:color w:val="000000"/>
                <w:sz w:val="16"/>
                <w:szCs w:val="16"/>
              </w:rPr>
              <w:t xml:space="preserve"> LTM </w:t>
            </w:r>
            <w:proofErr w:type="gramStart"/>
            <w:r>
              <w:rPr>
                <w:color w:val="000000"/>
                <w:sz w:val="16"/>
                <w:szCs w:val="16"/>
              </w:rPr>
              <w:t>回报</w:t>
            </w:r>
            <w:r>
              <w:rPr>
                <w:color w:val="000000"/>
                <w:sz w:val="16"/>
                <w:szCs w:val="16"/>
              </w:rPr>
              <w:t xml:space="preserve"> 8.7%</w:t>
            </w:r>
            <w:proofErr w:type="gramEnd"/>
            <w:r>
              <w:rPr>
                <w:color w:val="000000"/>
                <w:sz w:val="16"/>
                <w:szCs w:val="16"/>
              </w:rPr>
              <w:t>（</w:t>
            </w:r>
            <w:proofErr w:type="gramStart"/>
            <w:r>
              <w:rPr>
                <w:color w:val="000000"/>
                <w:sz w:val="16"/>
                <w:szCs w:val="16"/>
              </w:rPr>
              <w:t>同比</w:t>
            </w:r>
            <w:r>
              <w:rPr>
                <w:color w:val="000000"/>
                <w:sz w:val="16"/>
                <w:szCs w:val="16"/>
              </w:rPr>
              <w:t xml:space="preserve"> −</w:t>
            </w:r>
            <w:proofErr w:type="gramEnd"/>
            <w:r>
              <w:rPr>
                <w:color w:val="000000"/>
                <w:sz w:val="16"/>
                <w:szCs w:val="16"/>
              </w:rPr>
              <w:t>2.2pp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</w:tr>
    </w:tbl>
    <w:p w14:paraId="3A663C2C" w14:textId="77777777" w:rsidR="00166CE4" w:rsidRDefault="00D675AC">
      <w:pPr>
        <w:spacing w:before="24" w:after="8"/>
        <w:jc w:val="center"/>
      </w:pPr>
      <w:r>
        <w:rPr>
          <w:noProof/>
        </w:rPr>
        <w:lastRenderedPageBreak/>
        <w:drawing>
          <wp:inline distT="0" distB="0" distL="0" distR="0" wp14:anchorId="52265E97" wp14:editId="25C01EF7">
            <wp:extent cx="3164417" cy="2366775"/>
            <wp:effectExtent l="0" t="0" r="0" b="0"/>
            <wp:docPr id="413621886" name="Picture 41362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975" cy="23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</w:rPr>
        <w:drawing>
          <wp:inline distT="0" distB="0" distL="0" distR="0" wp14:anchorId="323C2C5C" wp14:editId="71A062AA">
            <wp:extent cx="2984254" cy="2232025"/>
            <wp:effectExtent l="0" t="0" r="6985" b="0"/>
            <wp:docPr id="983554324" name="Picture 98355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155" cy="22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484F" w14:textId="77777777" w:rsidR="00166CE4" w:rsidRDefault="00D675AC">
      <w:pPr>
        <w:spacing w:after="28" w:line="230" w:lineRule="auto"/>
        <w:jc w:val="center"/>
      </w:pPr>
      <w:r>
        <w:rPr>
          <w:i/>
          <w:iCs/>
          <w:color w:val="5A6B7B"/>
          <w:sz w:val="13"/>
          <w:szCs w:val="13"/>
        </w:rPr>
        <w:t>左：单一档新发利</w:t>
      </w:r>
      <w:proofErr w:type="gramStart"/>
      <w:r>
        <w:rPr>
          <w:i/>
          <w:iCs/>
          <w:color w:val="5A6B7B"/>
          <w:sz w:val="13"/>
          <w:szCs w:val="13"/>
        </w:rPr>
        <w:t>差</w:t>
      </w:r>
      <w:r>
        <w:rPr>
          <w:i/>
          <w:iCs/>
          <w:color w:val="5A6B7B"/>
          <w:sz w:val="13"/>
          <w:szCs w:val="13"/>
        </w:rPr>
        <w:t xml:space="preserve"> 508bp </w:t>
      </w:r>
      <w:proofErr w:type="gramEnd"/>
      <w:r>
        <w:rPr>
          <w:i/>
          <w:iCs/>
          <w:color w:val="5A6B7B"/>
          <w:sz w:val="13"/>
          <w:szCs w:val="13"/>
        </w:rPr>
        <w:t xml:space="preserve">vs </w:t>
      </w:r>
      <w:r>
        <w:rPr>
          <w:i/>
          <w:iCs/>
          <w:color w:val="5A6B7B"/>
          <w:sz w:val="13"/>
          <w:szCs w:val="13"/>
        </w:rPr>
        <w:t>单</w:t>
      </w:r>
      <w:r>
        <w:rPr>
          <w:i/>
          <w:iCs/>
          <w:color w:val="5A6B7B"/>
          <w:sz w:val="13"/>
          <w:szCs w:val="13"/>
        </w:rPr>
        <w:t xml:space="preserve"> B BSL 430bp</w:t>
      </w:r>
      <w:r>
        <w:rPr>
          <w:i/>
          <w:iCs/>
          <w:color w:val="5A6B7B"/>
          <w:sz w:val="13"/>
          <w:szCs w:val="13"/>
        </w:rPr>
        <w:t>，溢价止窄回升</w:t>
      </w:r>
      <w:r>
        <w:rPr>
          <w:i/>
          <w:iCs/>
          <w:color w:val="5A6B7B"/>
          <w:sz w:val="13"/>
          <w:szCs w:val="13"/>
        </w:rPr>
        <w:t>——</w:t>
      </w:r>
      <w:r>
        <w:rPr>
          <w:i/>
          <w:iCs/>
          <w:color w:val="5A6B7B"/>
          <w:sz w:val="13"/>
          <w:szCs w:val="13"/>
        </w:rPr>
        <w:t>投放窗口的价格证据；右：月度直贷新增</w:t>
      </w:r>
      <w:proofErr w:type="gramStart"/>
      <w:r>
        <w:rPr>
          <w:i/>
          <w:iCs/>
          <w:color w:val="5A6B7B"/>
          <w:sz w:val="13"/>
          <w:szCs w:val="13"/>
        </w:rPr>
        <w:t>放贷</w:t>
      </w:r>
      <w:r>
        <w:rPr>
          <w:i/>
          <w:iCs/>
          <w:color w:val="5A6B7B"/>
          <w:sz w:val="13"/>
          <w:szCs w:val="13"/>
        </w:rPr>
        <w:t xml:space="preserve"> Q2 </w:t>
      </w:r>
      <w:proofErr w:type="gramEnd"/>
      <w:r>
        <w:rPr>
          <w:i/>
          <w:iCs/>
          <w:color w:val="5A6B7B"/>
          <w:sz w:val="13"/>
          <w:szCs w:val="13"/>
        </w:rPr>
        <w:t>骤降</w:t>
      </w:r>
      <w:proofErr w:type="gramStart"/>
      <w:r>
        <w:rPr>
          <w:i/>
          <w:iCs/>
          <w:color w:val="5A6B7B"/>
          <w:sz w:val="13"/>
          <w:szCs w:val="13"/>
        </w:rPr>
        <w:t>至</w:t>
      </w:r>
      <w:r>
        <w:rPr>
          <w:i/>
          <w:iCs/>
          <w:color w:val="5A6B7B"/>
          <w:sz w:val="13"/>
          <w:szCs w:val="13"/>
        </w:rPr>
        <w:t xml:space="preserve"> $</w:t>
      </w:r>
      <w:proofErr w:type="gramEnd"/>
      <w:r>
        <w:rPr>
          <w:i/>
          <w:iCs/>
          <w:color w:val="5A6B7B"/>
          <w:sz w:val="13"/>
          <w:szCs w:val="13"/>
        </w:rPr>
        <w:t xml:space="preserve">33bn </w:t>
      </w:r>
      <w:proofErr w:type="gramStart"/>
      <w:r>
        <w:rPr>
          <w:i/>
          <w:iCs/>
          <w:color w:val="5A6B7B"/>
          <w:sz w:val="13"/>
          <w:szCs w:val="13"/>
        </w:rPr>
        <w:t xml:space="preserve">/ 149 </w:t>
      </w:r>
      <w:proofErr w:type="gramEnd"/>
      <w:r>
        <w:rPr>
          <w:i/>
          <w:iCs/>
          <w:color w:val="5A6B7B"/>
          <w:sz w:val="13"/>
          <w:szCs w:val="13"/>
        </w:rPr>
        <w:t>笔（</w:t>
      </w:r>
      <w:r>
        <w:rPr>
          <w:i/>
          <w:iCs/>
          <w:color w:val="5A6B7B"/>
          <w:sz w:val="13"/>
          <w:szCs w:val="13"/>
        </w:rPr>
        <w:t xml:space="preserve">Q1 </w:t>
      </w:r>
      <w:proofErr w:type="gramStart"/>
      <w:r>
        <w:rPr>
          <w:i/>
          <w:iCs/>
          <w:color w:val="5A6B7B"/>
          <w:sz w:val="13"/>
          <w:szCs w:val="13"/>
        </w:rPr>
        <w:t>为</w:t>
      </w:r>
      <w:r>
        <w:rPr>
          <w:i/>
          <w:iCs/>
          <w:color w:val="5A6B7B"/>
          <w:sz w:val="13"/>
          <w:szCs w:val="13"/>
        </w:rPr>
        <w:t xml:space="preserve"> $</w:t>
      </w:r>
      <w:proofErr w:type="gramEnd"/>
      <w:r>
        <w:rPr>
          <w:i/>
          <w:iCs/>
          <w:color w:val="5A6B7B"/>
          <w:sz w:val="13"/>
          <w:szCs w:val="13"/>
        </w:rPr>
        <w:t xml:space="preserve">74.1bn </w:t>
      </w:r>
      <w:proofErr w:type="gramStart"/>
      <w:r>
        <w:rPr>
          <w:i/>
          <w:iCs/>
          <w:color w:val="5A6B7B"/>
          <w:sz w:val="13"/>
          <w:szCs w:val="13"/>
        </w:rPr>
        <w:t xml:space="preserve">/ 217 </w:t>
      </w:r>
      <w:proofErr w:type="gramEnd"/>
      <w:r>
        <w:rPr>
          <w:i/>
          <w:iCs/>
          <w:color w:val="5A6B7B"/>
          <w:sz w:val="13"/>
          <w:szCs w:val="13"/>
        </w:rPr>
        <w:t>笔）。</w:t>
      </w:r>
    </w:p>
    <w:p w14:paraId="6E260737" w14:textId="77777777" w:rsidR="00166CE4" w:rsidRDefault="00D675AC">
      <w:pPr>
        <w:spacing w:before="40" w:after="34" w:line="230" w:lineRule="auto"/>
      </w:pPr>
      <w:r>
        <w:rPr>
          <w:b/>
          <w:bCs/>
          <w:color w:val="2E6DA4"/>
        </w:rPr>
        <w:t>卖方立场（五家）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5345"/>
      </w:tblGrid>
      <w:tr w:rsidR="00166CE4" w14:paraId="23E4C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3EFC762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机构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0C0E4EC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立场</w:t>
            </w:r>
          </w:p>
        </w:tc>
        <w:tc>
          <w:tcPr>
            <w:tcW w:w="53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31B2845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核心论点</w:t>
            </w:r>
          </w:p>
        </w:tc>
      </w:tr>
      <w:tr w:rsidR="00166CE4" w14:paraId="7BCDB9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AA1966B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Morgan Stanley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4144B21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谨慎至中性</w:t>
            </w:r>
          </w:p>
        </w:tc>
        <w:tc>
          <w:tcPr>
            <w:tcW w:w="53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9931D09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压力受控但未消除；</w:t>
            </w:r>
            <w:proofErr w:type="gramStart"/>
            <w:r>
              <w:rPr>
                <w:color w:val="000000"/>
                <w:sz w:val="16"/>
                <w:szCs w:val="16"/>
              </w:rPr>
              <w:t>预测</w:t>
            </w:r>
            <w:r>
              <w:rPr>
                <w:color w:val="000000"/>
                <w:sz w:val="16"/>
                <w:szCs w:val="16"/>
              </w:rPr>
              <w:t xml:space="preserve"> 2H26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–1H27 </w:t>
            </w:r>
            <w:r>
              <w:rPr>
                <w:color w:val="000000"/>
                <w:sz w:val="16"/>
                <w:szCs w:val="16"/>
              </w:rPr>
              <w:t>私募信贷年化违约</w:t>
            </w:r>
            <w:proofErr w:type="gramStart"/>
            <w:r>
              <w:rPr>
                <w:color w:val="000000"/>
                <w:sz w:val="16"/>
                <w:szCs w:val="16"/>
              </w:rPr>
              <w:t>约</w:t>
            </w:r>
            <w:r>
              <w:rPr>
                <w:color w:val="000000"/>
                <w:sz w:val="16"/>
                <w:szCs w:val="16"/>
              </w:rPr>
              <w:t xml:space="preserve"> 8%</w:t>
            </w:r>
            <w:proofErr w:type="gramEnd"/>
          </w:p>
        </w:tc>
      </w:tr>
      <w:tr w:rsidR="00166CE4" w14:paraId="2F9A2D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E4914C3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J.P. Morgan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4AE3303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放心（保险视角）</w:t>
            </w:r>
          </w:p>
        </w:tc>
        <w:tc>
          <w:tcPr>
            <w:tcW w:w="53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9E7E071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寿险私募信贷敞口</w:t>
            </w:r>
            <w:proofErr w:type="gramStart"/>
            <w:r>
              <w:rPr>
                <w:color w:val="000000"/>
                <w:sz w:val="16"/>
                <w:szCs w:val="16"/>
              </w:rPr>
              <w:t>约</w:t>
            </w:r>
            <w:r>
              <w:rPr>
                <w:color w:val="000000"/>
                <w:sz w:val="16"/>
                <w:szCs w:val="16"/>
              </w:rPr>
              <w:t xml:space="preserve"> 90% </w:t>
            </w:r>
            <w:proofErr w:type="gramEnd"/>
            <w:r>
              <w:rPr>
                <w:color w:val="000000"/>
                <w:sz w:val="16"/>
                <w:szCs w:val="16"/>
              </w:rPr>
              <w:t>位于投资级；透明度下降是主要担忧</w:t>
            </w:r>
          </w:p>
        </w:tc>
      </w:tr>
      <w:tr w:rsidR="00166CE4" w14:paraId="1A594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8D77C39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Goldman Sachs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DC574E5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建设性</w:t>
            </w:r>
          </w:p>
        </w:tc>
        <w:tc>
          <w:tcPr>
            <w:tcW w:w="53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B223507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分化而非全面动荡；机构</w:t>
            </w:r>
            <w:proofErr w:type="gramStart"/>
            <w:r>
              <w:rPr>
                <w:color w:val="000000"/>
                <w:sz w:val="16"/>
                <w:szCs w:val="16"/>
              </w:rPr>
              <w:t>占</w:t>
            </w:r>
            <w:r>
              <w:rPr>
                <w:color w:val="000000"/>
                <w:sz w:val="16"/>
                <w:szCs w:val="16"/>
              </w:rPr>
              <w:t xml:space="preserve"> 85%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+ </w:t>
            </w:r>
            <w:r>
              <w:rPr>
                <w:color w:val="000000"/>
                <w:sz w:val="16"/>
                <w:szCs w:val="16"/>
              </w:rPr>
              <w:t>且无可比赎回权</w:t>
            </w:r>
          </w:p>
        </w:tc>
      </w:tr>
      <w:tr w:rsidR="00166CE4" w14:paraId="5E4E5E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DA3FA2B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Barclays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6C13044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中性偏建设性</w:t>
            </w:r>
          </w:p>
        </w:tc>
        <w:tc>
          <w:tcPr>
            <w:tcW w:w="53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C65893A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趋于正常化；问题集中</w:t>
            </w:r>
            <w:proofErr w:type="gramStart"/>
            <w:r>
              <w:rPr>
                <w:color w:val="000000"/>
                <w:sz w:val="16"/>
                <w:szCs w:val="16"/>
              </w:rPr>
              <w:t>于</w:t>
            </w:r>
            <w:r>
              <w:rPr>
                <w:color w:val="000000"/>
                <w:sz w:val="16"/>
                <w:szCs w:val="16"/>
              </w:rPr>
              <w:t xml:space="preserve"> 2022 </w:t>
            </w:r>
            <w:proofErr w:type="gramEnd"/>
            <w:r>
              <w:rPr>
                <w:color w:val="000000"/>
                <w:sz w:val="16"/>
                <w:szCs w:val="16"/>
              </w:rPr>
              <w:t>年及以前年份（占停止计</w:t>
            </w:r>
            <w:proofErr w:type="gramStart"/>
            <w:r>
              <w:rPr>
                <w:color w:val="000000"/>
                <w:sz w:val="16"/>
                <w:szCs w:val="16"/>
              </w:rPr>
              <w:t>息</w:t>
            </w:r>
            <w:r>
              <w:rPr>
                <w:color w:val="000000"/>
                <w:sz w:val="16"/>
                <w:szCs w:val="16"/>
              </w:rPr>
              <w:t xml:space="preserve"> 70%</w:t>
            </w:r>
            <w:proofErr w:type="gramEnd"/>
            <w:r>
              <w:rPr>
                <w:color w:val="000000"/>
                <w:sz w:val="16"/>
                <w:szCs w:val="16"/>
              </w:rPr>
              <w:t>+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</w:tr>
      <w:tr w:rsidR="00166CE4" w14:paraId="17B015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F9875BA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UBS</w:t>
            </w:r>
          </w:p>
        </w:tc>
        <w:tc>
          <w:tcPr>
            <w:tcW w:w="24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6E95FCD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看空（唯一空头）</w:t>
            </w:r>
          </w:p>
        </w:tc>
        <w:tc>
          <w:tcPr>
            <w:tcW w:w="534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20CFF70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做空私募信贷、做多证券化；</w:t>
            </w:r>
            <w:r>
              <w:rPr>
                <w:color w:val="000000"/>
                <w:sz w:val="16"/>
                <w:szCs w:val="16"/>
              </w:rPr>
              <w:t xml:space="preserve">AI </w:t>
            </w:r>
            <w:r>
              <w:rPr>
                <w:color w:val="000000"/>
                <w:sz w:val="16"/>
                <w:szCs w:val="16"/>
              </w:rPr>
              <w:t>冲击可使违约率再</w:t>
            </w:r>
            <w:proofErr w:type="gramStart"/>
            <w:r>
              <w:rPr>
                <w:color w:val="000000"/>
                <w:sz w:val="16"/>
                <w:szCs w:val="16"/>
              </w:rPr>
              <w:t>升</w:t>
            </w:r>
            <w:r>
              <w:rPr>
                <w:color w:val="000000"/>
                <w:sz w:val="16"/>
                <w:szCs w:val="16"/>
              </w:rPr>
              <w:t xml:space="preserve"> 5</w:t>
            </w:r>
            <w:proofErr w:type="gramEnd"/>
            <w:r>
              <w:rPr>
                <w:color w:val="000000"/>
                <w:sz w:val="16"/>
                <w:szCs w:val="16"/>
              </w:rPr>
              <w:t>–10pp</w:t>
            </w:r>
          </w:p>
        </w:tc>
      </w:tr>
    </w:tbl>
    <w:p w14:paraId="5935909D" w14:textId="77777777" w:rsidR="00166CE4" w:rsidRDefault="00D675AC">
      <w:pPr>
        <w:spacing w:before="24" w:after="40" w:line="230" w:lineRule="auto"/>
      </w:pPr>
      <w:r>
        <w:rPr>
          <w:i/>
          <w:iCs/>
          <w:color w:val="5A6B7B"/>
          <w:sz w:val="13"/>
          <w:szCs w:val="13"/>
        </w:rPr>
        <w:t>资料来源：</w:t>
      </w:r>
      <w:r>
        <w:rPr>
          <w:i/>
          <w:iCs/>
          <w:color w:val="5A6B7B"/>
          <w:sz w:val="13"/>
          <w:szCs w:val="13"/>
        </w:rPr>
        <w:t>MS Research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J.P. Morgan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Goldman Sachs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Barclays</w:t>
      </w:r>
      <w:r>
        <w:rPr>
          <w:i/>
          <w:iCs/>
          <w:color w:val="5A6B7B"/>
          <w:sz w:val="13"/>
          <w:szCs w:val="13"/>
        </w:rPr>
        <w:t>、</w:t>
      </w:r>
      <w:r>
        <w:rPr>
          <w:i/>
          <w:iCs/>
          <w:color w:val="5A6B7B"/>
          <w:sz w:val="13"/>
          <w:szCs w:val="13"/>
        </w:rPr>
        <w:t>UBS</w:t>
      </w:r>
      <w:r>
        <w:rPr>
          <w:i/>
          <w:iCs/>
          <w:color w:val="5A6B7B"/>
          <w:sz w:val="13"/>
          <w:szCs w:val="13"/>
        </w:rPr>
        <w:t>；</w:t>
      </w:r>
      <w:proofErr w:type="spellStart"/>
      <w:r>
        <w:rPr>
          <w:i/>
          <w:iCs/>
          <w:color w:val="5A6B7B"/>
          <w:sz w:val="13"/>
          <w:szCs w:val="13"/>
        </w:rPr>
        <w:t>Junson</w:t>
      </w:r>
      <w:proofErr w:type="spellEnd"/>
      <w:r>
        <w:rPr>
          <w:i/>
          <w:iCs/>
          <w:color w:val="5A6B7B"/>
          <w:sz w:val="13"/>
          <w:szCs w:val="13"/>
        </w:rPr>
        <w:t xml:space="preserve"> AID </w:t>
      </w:r>
      <w:r>
        <w:rPr>
          <w:i/>
          <w:iCs/>
          <w:color w:val="5A6B7B"/>
          <w:sz w:val="13"/>
          <w:szCs w:val="13"/>
        </w:rPr>
        <w:t>汇总。</w:t>
      </w:r>
    </w:p>
    <w:p w14:paraId="6A2C6456" w14:textId="77777777" w:rsidR="00D268C3" w:rsidRPr="00D268C3" w:rsidRDefault="00D268C3">
      <w:pPr>
        <w:spacing w:before="28" w:after="20" w:line="230" w:lineRule="auto"/>
        <w:rPr>
          <w:b/>
          <w:bCs/>
          <w:color w:val="1F3B5B"/>
          <w:sz w:val="14"/>
          <w:szCs w:val="14"/>
        </w:rPr>
      </w:pPr>
    </w:p>
    <w:p w14:paraId="76F9AAF4" w14:textId="30F60BB8" w:rsidR="00166CE4" w:rsidRDefault="00D675AC">
      <w:pPr>
        <w:spacing w:before="28" w:after="20" w:line="230" w:lineRule="auto"/>
      </w:pPr>
      <w:r>
        <w:rPr>
          <w:b/>
          <w:bCs/>
          <w:color w:val="1F3B5B"/>
          <w:sz w:val="22"/>
          <w:szCs w:val="22"/>
        </w:rPr>
        <w:t>3. Impact on Our Portfolio</w:t>
      </w:r>
      <w:r>
        <w:rPr>
          <w:b/>
          <w:bCs/>
          <w:color w:val="1F3B5B"/>
          <w:sz w:val="22"/>
          <w:szCs w:val="22"/>
        </w:rPr>
        <w:t>（对持仓的传导）</w:t>
      </w:r>
    </w:p>
    <w:p w14:paraId="63203D43" w14:textId="77777777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账面净值慢半拍，可能偏乐观</w:t>
      </w:r>
      <w:r>
        <w:rPr>
          <w:color w:val="000000"/>
        </w:rPr>
        <w:t>：三只基金的估值都停在</w:t>
      </w:r>
      <w:r>
        <w:rPr>
          <w:color w:val="000000"/>
        </w:rPr>
        <w:t xml:space="preserve"> 3 </w:t>
      </w:r>
      <w:r>
        <w:rPr>
          <w:color w:val="000000"/>
        </w:rPr>
        <w:t>月</w:t>
      </w:r>
      <w:r>
        <w:rPr>
          <w:color w:val="000000"/>
        </w:rPr>
        <w:t xml:space="preserve"> 31 </w:t>
      </w:r>
      <w:r>
        <w:rPr>
          <w:color w:val="000000"/>
        </w:rPr>
        <w:t>日，而</w:t>
      </w:r>
      <w:r>
        <w:rPr>
          <w:color w:val="000000"/>
        </w:rPr>
        <w:t xml:space="preserve"> 4 </w:t>
      </w:r>
      <w:r>
        <w:rPr>
          <w:color w:val="000000"/>
        </w:rPr>
        <w:t>月以后软件和私募信贷在公开市场已经跌过一轮，这一段还没进到净值里。二级市场现在有真实成交价（面值到打九折都有），下季可用这些真实成交价去核基金自报的估值，重点核软件持仓。</w:t>
      </w:r>
    </w:p>
    <w:p w14:paraId="66DB1F76" w14:textId="77777777" w:rsidR="00166CE4" w:rsidRDefault="00D675AC">
      <w:pPr>
        <w:spacing w:after="22" w:line="230" w:lineRule="auto"/>
        <w:ind w:left="200" w:hanging="200"/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这轮出事的主要不是我们这批资产</w:t>
      </w:r>
      <w:r>
        <w:rPr>
          <w:color w:val="000000"/>
        </w:rPr>
        <w:t>：违约和停止计息集中在</w:t>
      </w:r>
      <w:r>
        <w:rPr>
          <w:color w:val="000000"/>
        </w:rPr>
        <w:t xml:space="preserve"> 2021–22 </w:t>
      </w:r>
      <w:r>
        <w:rPr>
          <w:color w:val="000000"/>
        </w:rPr>
        <w:t>年高点放出的贷款（占停止计息余额</w:t>
      </w:r>
      <w:r>
        <w:rPr>
          <w:color w:val="000000"/>
        </w:rPr>
        <w:t xml:space="preserve"> 70%+</w:t>
      </w:r>
      <w:r>
        <w:rPr>
          <w:color w:val="000000"/>
        </w:rPr>
        <w:t>）和软件行业（约占</w:t>
      </w:r>
      <w:r>
        <w:rPr>
          <w:color w:val="000000"/>
        </w:rPr>
        <w:t xml:space="preserve"> BDC </w:t>
      </w:r>
      <w:r>
        <w:rPr>
          <w:color w:val="000000"/>
        </w:rPr>
        <w:t>抵押资产</w:t>
      </w:r>
      <w:r>
        <w:rPr>
          <w:color w:val="000000"/>
        </w:rPr>
        <w:t xml:space="preserve"> 26%</w:t>
      </w:r>
      <w:r>
        <w:rPr>
          <w:color w:val="000000"/>
        </w:rPr>
        <w:t>）；我们三只基金</w:t>
      </w:r>
      <w:r>
        <w:rPr>
          <w:color w:val="000000"/>
        </w:rPr>
        <w:t xml:space="preserve"> 2023 / 2024 </w:t>
      </w:r>
      <w:r>
        <w:rPr>
          <w:color w:val="000000"/>
        </w:rPr>
        <w:t>年才建仓，进场在市场变便宜之后，</w:t>
      </w:r>
      <w:r>
        <w:rPr>
          <w:color w:val="000000"/>
        </w:rPr>
        <w:t xml:space="preserve">Guggenheim </w:t>
      </w:r>
      <w:r>
        <w:rPr>
          <w:color w:val="000000"/>
        </w:rPr>
        <w:t>软件占比约</w:t>
      </w:r>
      <w:r>
        <w:rPr>
          <w:color w:val="000000"/>
        </w:rPr>
        <w:t xml:space="preserve"> 17% </w:t>
      </w:r>
      <w:r>
        <w:rPr>
          <w:color w:val="000000"/>
        </w:rPr>
        <w:t>也低于行业的</w:t>
      </w:r>
      <w:r>
        <w:rPr>
          <w:color w:val="000000"/>
        </w:rPr>
        <w:t xml:space="preserve"> 26%</w:t>
      </w:r>
      <w:r>
        <w:rPr>
          <w:color w:val="000000"/>
        </w:rPr>
        <w:t>。</w:t>
      </w:r>
    </w:p>
    <w:p w14:paraId="7F52CFD3" w14:textId="77777777" w:rsidR="00166CE4" w:rsidRDefault="00D675AC">
      <w:pPr>
        <w:spacing w:after="22" w:line="230" w:lineRule="auto"/>
        <w:ind w:left="200" w:hanging="200"/>
        <w:rPr>
          <w:color w:val="000000"/>
        </w:rPr>
      </w:pPr>
      <w:r>
        <w:rPr>
          <w:color w:val="000000"/>
        </w:rPr>
        <w:t xml:space="preserve">•  </w:t>
      </w:r>
      <w:r>
        <w:rPr>
          <w:b/>
          <w:bCs/>
          <w:color w:val="000000"/>
        </w:rPr>
        <w:t>市场变好已经落到我们账上</w:t>
      </w:r>
      <w:r>
        <w:rPr>
          <w:color w:val="000000"/>
        </w:rPr>
        <w:t>：竞争减少后放贷方话语权变强</w:t>
      </w:r>
      <w:r>
        <w:rPr>
          <w:color w:val="000000"/>
        </w:rPr>
        <w:t xml:space="preserve">——Guggenheim </w:t>
      </w:r>
      <w:r>
        <w:rPr>
          <w:color w:val="000000"/>
        </w:rPr>
        <w:t>最近六笔新贷款：利差</w:t>
      </w:r>
      <w:r>
        <w:rPr>
          <w:color w:val="000000"/>
        </w:rPr>
        <w:t xml:space="preserve"> SOFR+546bp</w:t>
      </w:r>
      <w:r>
        <w:rPr>
          <w:color w:val="000000"/>
        </w:rPr>
        <w:t>（利息更高）、借款人杠杆</w:t>
      </w:r>
      <w:r>
        <w:rPr>
          <w:color w:val="000000"/>
        </w:rPr>
        <w:t xml:space="preserve"> 4.0 </w:t>
      </w:r>
      <w:r>
        <w:rPr>
          <w:color w:val="000000"/>
        </w:rPr>
        <w:t>倍（负债更轻）、贷款额只占公司估值</w:t>
      </w:r>
      <w:r>
        <w:rPr>
          <w:color w:val="000000"/>
        </w:rPr>
        <w:t xml:space="preserve"> 42%</w:t>
      </w:r>
      <w:r>
        <w:rPr>
          <w:color w:val="000000"/>
        </w:rPr>
        <w:t>（安全垫更厚）。好的投放窗口不只是券商说法，是我们已拿到手的条件。</w:t>
      </w:r>
    </w:p>
    <w:p w14:paraId="09D1C2FF" w14:textId="77777777" w:rsidR="00D268C3" w:rsidRPr="00D268C3" w:rsidRDefault="00D268C3">
      <w:pPr>
        <w:spacing w:after="22" w:line="230" w:lineRule="auto"/>
        <w:ind w:left="200" w:hanging="200"/>
        <w:rPr>
          <w:rFonts w:hint="eastAsia"/>
          <w:sz w:val="14"/>
          <w:szCs w:val="14"/>
        </w:rPr>
      </w:pPr>
    </w:p>
    <w:p w14:paraId="26FBC951" w14:textId="77777777" w:rsidR="00166CE4" w:rsidRDefault="00D675AC">
      <w:pPr>
        <w:spacing w:before="28" w:after="20" w:line="230" w:lineRule="auto"/>
      </w:pPr>
      <w:r>
        <w:rPr>
          <w:b/>
          <w:bCs/>
          <w:color w:val="1F3B5B"/>
          <w:sz w:val="22"/>
          <w:szCs w:val="22"/>
        </w:rPr>
        <w:t>4. Our Position</w:t>
      </w:r>
      <w:r>
        <w:rPr>
          <w:b/>
          <w:bCs/>
          <w:color w:val="1F3B5B"/>
          <w:sz w:val="22"/>
          <w:szCs w:val="22"/>
        </w:rPr>
        <w:t>：三只基金、</w:t>
      </w:r>
      <w:r>
        <w:rPr>
          <w:b/>
          <w:bCs/>
          <w:color w:val="1F3B5B"/>
          <w:sz w:val="22"/>
          <w:szCs w:val="22"/>
        </w:rPr>
        <w:t xml:space="preserve">Watch List </w:t>
      </w:r>
      <w:r>
        <w:rPr>
          <w:b/>
          <w:bCs/>
          <w:color w:val="1F3B5B"/>
          <w:sz w:val="22"/>
          <w:szCs w:val="22"/>
        </w:rPr>
        <w:t>与操作建议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851"/>
        <w:gridCol w:w="850"/>
        <w:gridCol w:w="851"/>
        <w:gridCol w:w="1134"/>
        <w:gridCol w:w="2126"/>
        <w:gridCol w:w="2595"/>
      </w:tblGrid>
      <w:tr w:rsidR="00166CE4" w14:paraId="574EDF20" w14:textId="77777777" w:rsidTr="00D268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466DF0D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基金（年份）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987B929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净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IRR</w:t>
            </w:r>
          </w:p>
        </w:tc>
        <w:tc>
          <w:tcPr>
            <w:tcW w:w="8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6D71FA8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TVPI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5E627A2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DPI</w:t>
            </w:r>
          </w:p>
        </w:tc>
        <w:tc>
          <w:tcPr>
            <w:tcW w:w="1134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98B1CC9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同年份百分位</w:t>
            </w:r>
          </w:p>
        </w:tc>
        <w:tc>
          <w:tcPr>
            <w:tcW w:w="21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8DC27EF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评注</w:t>
            </w:r>
          </w:p>
        </w:tc>
        <w:tc>
          <w:tcPr>
            <w:tcW w:w="259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0F4B84A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操作建议</w:t>
            </w:r>
          </w:p>
        </w:tc>
      </w:tr>
      <w:tr w:rsidR="00166CE4" w14:paraId="73C49553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7D2AC37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PAG BRS III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2023</w:t>
            </w:r>
            <w:r>
              <w:rPr>
                <w:color w:val="000000"/>
                <w:sz w:val="16"/>
                <w:szCs w:val="16"/>
              </w:rPr>
              <w:t>）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8256870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14.7%</w:t>
            </w:r>
          </w:p>
        </w:tc>
        <w:tc>
          <w:tcPr>
            <w:tcW w:w="8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E245BD8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1.11x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3E42811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0.30x</w:t>
            </w:r>
          </w:p>
        </w:tc>
        <w:tc>
          <w:tcPr>
            <w:tcW w:w="1134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2E1C94E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IRR P92 / TVPI P28</w:t>
            </w:r>
          </w:p>
        </w:tc>
        <w:tc>
          <w:tcPr>
            <w:tcW w:w="21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AF4607F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首四分位、分配领先（</w:t>
            </w:r>
            <w:r>
              <w:rPr>
                <w:color w:val="000000"/>
                <w:sz w:val="16"/>
                <w:szCs w:val="16"/>
              </w:rPr>
              <w:t>DPI P72</w:t>
            </w:r>
            <w:r>
              <w:rPr>
                <w:color w:val="000000"/>
                <w:sz w:val="16"/>
                <w:szCs w:val="16"/>
              </w:rPr>
              <w:t>）；</w:t>
            </w:r>
            <w:r>
              <w:rPr>
                <w:color w:val="000000"/>
                <w:sz w:val="16"/>
                <w:szCs w:val="16"/>
              </w:rPr>
              <w:t xml:space="preserve">Q1 </w:t>
            </w:r>
            <w:r>
              <w:rPr>
                <w:color w:val="000000"/>
                <w:sz w:val="16"/>
                <w:szCs w:val="16"/>
              </w:rPr>
              <w:t>退出</w:t>
            </w:r>
            <w:r>
              <w:rPr>
                <w:color w:val="000000"/>
                <w:sz w:val="16"/>
                <w:szCs w:val="16"/>
              </w:rPr>
              <w:t xml:space="preserve"> Veleta</w:t>
            </w:r>
            <w:r>
              <w:rPr>
                <w:color w:val="000000"/>
                <w:sz w:val="16"/>
                <w:szCs w:val="16"/>
              </w:rPr>
              <w:t>，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12% </w:t>
            </w:r>
            <w:r>
              <w:rPr>
                <w:color w:val="000000"/>
                <w:sz w:val="16"/>
                <w:szCs w:val="16"/>
              </w:rPr>
              <w:t>无</w:t>
            </w:r>
            <w:proofErr w:type="gramEnd"/>
            <w:r>
              <w:rPr>
                <w:color w:val="000000"/>
                <w:sz w:val="16"/>
                <w:szCs w:val="16"/>
              </w:rPr>
              <w:t>杠杆</w:t>
            </w:r>
            <w:r>
              <w:rPr>
                <w:color w:val="000000"/>
                <w:sz w:val="16"/>
                <w:szCs w:val="16"/>
              </w:rPr>
              <w:t xml:space="preserve"> IRR</w:t>
            </w:r>
            <w:r>
              <w:rPr>
                <w:color w:val="000000"/>
                <w:sz w:val="16"/>
                <w:szCs w:val="16"/>
              </w:rPr>
              <w:t>、</w:t>
            </w:r>
            <w:proofErr w:type="gramStart"/>
            <w:r>
              <w:rPr>
                <w:color w:val="000000"/>
                <w:sz w:val="16"/>
                <w:szCs w:val="16"/>
              </w:rPr>
              <w:t>分配</w:t>
            </w:r>
            <w:r>
              <w:rPr>
                <w:color w:val="000000"/>
                <w:sz w:val="16"/>
                <w:szCs w:val="16"/>
              </w:rPr>
              <w:t xml:space="preserve"> $</w:t>
            </w:r>
            <w:proofErr w:type="gramEnd"/>
            <w:r>
              <w:rPr>
                <w:color w:val="000000"/>
                <w:sz w:val="16"/>
                <w:szCs w:val="16"/>
              </w:rPr>
              <w:t>59mm</w:t>
            </w:r>
          </w:p>
        </w:tc>
        <w:tc>
          <w:tcPr>
            <w:tcW w:w="259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E3F1E7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C26B397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1F7A3D"/>
                <w:sz w:val="16"/>
                <w:szCs w:val="16"/>
              </w:rPr>
              <w:t>持有</w:t>
            </w:r>
            <w:r>
              <w:rPr>
                <w:color w:val="1F7A3D"/>
                <w:sz w:val="16"/>
                <w:szCs w:val="16"/>
              </w:rPr>
              <w:t>：分配领先，无动作；关注认购额度融资（</w:t>
            </w:r>
            <w:r>
              <w:rPr>
                <w:color w:val="1F7A3D"/>
                <w:sz w:val="16"/>
                <w:szCs w:val="16"/>
              </w:rPr>
              <w:t>62%</w:t>
            </w:r>
            <w:r>
              <w:rPr>
                <w:color w:val="1F7A3D"/>
                <w:sz w:val="16"/>
                <w:szCs w:val="16"/>
              </w:rPr>
              <w:t>）转永久杠杆的节奏</w:t>
            </w:r>
          </w:p>
        </w:tc>
      </w:tr>
      <w:tr w:rsidR="00166CE4" w14:paraId="6428217A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7A17987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Guggenheim PDF IV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2024</w:t>
            </w:r>
            <w:r>
              <w:rPr>
                <w:color w:val="000000"/>
                <w:sz w:val="16"/>
                <w:szCs w:val="16"/>
              </w:rPr>
              <w:t>）</w:t>
            </w:r>
            <w:r>
              <w:rPr>
                <w:color w:val="000000"/>
                <w:sz w:val="16"/>
                <w:szCs w:val="16"/>
              </w:rPr>
              <w:t>†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8C00AEE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9.3%†</w:t>
            </w:r>
          </w:p>
        </w:tc>
        <w:tc>
          <w:tcPr>
            <w:tcW w:w="8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A7032F7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1.20x†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D5FF3CA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0.18x†</w:t>
            </w:r>
          </w:p>
        </w:tc>
        <w:tc>
          <w:tcPr>
            <w:tcW w:w="1134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5185FDA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IRR P18† / TVPI P100</w:t>
            </w:r>
          </w:p>
        </w:tc>
        <w:tc>
          <w:tcPr>
            <w:tcW w:w="21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3221560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$4.5bn </w:t>
            </w:r>
            <w:r>
              <w:rPr>
                <w:color w:val="000000"/>
                <w:sz w:val="16"/>
                <w:szCs w:val="16"/>
              </w:rPr>
              <w:t>硬上限关账（超目标</w:t>
            </w:r>
            <w:r>
              <w:rPr>
                <w:color w:val="000000"/>
                <w:sz w:val="16"/>
                <w:szCs w:val="16"/>
              </w:rPr>
              <w:t xml:space="preserve"> 50%</w:t>
            </w:r>
            <w:r>
              <w:rPr>
                <w:color w:val="000000"/>
                <w:sz w:val="16"/>
                <w:szCs w:val="16"/>
              </w:rPr>
              <w:t>）；</w:t>
            </w:r>
            <w:r>
              <w:rPr>
                <w:color w:val="000000"/>
                <w:sz w:val="16"/>
                <w:szCs w:val="16"/>
              </w:rPr>
              <w:t xml:space="preserve">40 </w:t>
            </w:r>
            <w:r>
              <w:rPr>
                <w:color w:val="000000"/>
                <w:sz w:val="16"/>
                <w:szCs w:val="16"/>
              </w:rPr>
              <w:t>笔中</w:t>
            </w:r>
            <w:r>
              <w:rPr>
                <w:color w:val="000000"/>
                <w:sz w:val="16"/>
                <w:szCs w:val="16"/>
              </w:rPr>
              <w:t xml:space="preserve"> 39 </w:t>
            </w:r>
            <w:r>
              <w:rPr>
                <w:color w:val="000000"/>
                <w:sz w:val="16"/>
                <w:szCs w:val="16"/>
              </w:rPr>
              <w:t>笔正常、</w:t>
            </w:r>
            <w:r>
              <w:rPr>
                <w:color w:val="000000"/>
                <w:sz w:val="16"/>
                <w:szCs w:val="16"/>
              </w:rPr>
              <w:t xml:space="preserve">1 </w:t>
            </w:r>
            <w:r>
              <w:rPr>
                <w:color w:val="000000"/>
                <w:sz w:val="16"/>
                <w:szCs w:val="16"/>
              </w:rPr>
              <w:t>笔监控、零停止计息</w:t>
            </w:r>
          </w:p>
        </w:tc>
        <w:tc>
          <w:tcPr>
            <w:tcW w:w="259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3D9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D9ABBEB" w14:textId="646F3837" w:rsidR="00166CE4" w:rsidRDefault="00D675AC">
            <w:pPr>
              <w:spacing w:line="222" w:lineRule="auto"/>
              <w:rPr>
                <w:rFonts w:hint="eastAsia"/>
              </w:rPr>
            </w:pPr>
            <w:proofErr w:type="gramStart"/>
            <w:r>
              <w:rPr>
                <w:b/>
                <w:bCs/>
                <w:color w:val="9A6B00"/>
                <w:sz w:val="16"/>
                <w:szCs w:val="16"/>
              </w:rPr>
              <w:t>持有</w:t>
            </w:r>
            <w:r>
              <w:rPr>
                <w:b/>
                <w:bCs/>
                <w:color w:val="9A6B00"/>
                <w:sz w:val="16"/>
                <w:szCs w:val="16"/>
              </w:rPr>
              <w:t xml:space="preserve"> · </w:t>
            </w:r>
            <w:proofErr w:type="gramEnd"/>
            <w:r>
              <w:rPr>
                <w:b/>
                <w:bCs/>
                <w:color w:val="9A6B00"/>
                <w:sz w:val="16"/>
                <w:szCs w:val="16"/>
              </w:rPr>
              <w:t>需观察</w:t>
            </w:r>
            <w:r>
              <w:rPr>
                <w:color w:val="9A6B00"/>
                <w:sz w:val="16"/>
                <w:szCs w:val="16"/>
              </w:rPr>
              <w:t>：</w:t>
            </w:r>
            <w:r w:rsidR="00D268C3">
              <w:rPr>
                <w:rFonts w:hint="eastAsia"/>
                <w:color w:val="9A6B00"/>
                <w:sz w:val="16"/>
                <w:szCs w:val="16"/>
              </w:rPr>
              <w:t>观察现金收益率是否如管理人所说提升到年化</w:t>
            </w:r>
            <w:r w:rsidR="00D268C3">
              <w:rPr>
                <w:rFonts w:hint="eastAsia"/>
                <w:color w:val="9A6B00"/>
                <w:sz w:val="16"/>
                <w:szCs w:val="16"/>
              </w:rPr>
              <w:t>~8%</w:t>
            </w:r>
          </w:p>
        </w:tc>
      </w:tr>
      <w:tr w:rsidR="00166CE4" w14:paraId="6BC20EB9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2992FF1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HSBC RCF</w:t>
            </w:r>
            <w:r>
              <w:rPr>
                <w:color w:val="000000"/>
                <w:sz w:val="16"/>
                <w:szCs w:val="16"/>
              </w:rPr>
              <w:t>（</w:t>
            </w:r>
            <w:r>
              <w:rPr>
                <w:color w:val="000000"/>
                <w:sz w:val="16"/>
                <w:szCs w:val="16"/>
              </w:rPr>
              <w:t>2024</w:t>
            </w:r>
            <w:r>
              <w:rPr>
                <w:color w:val="000000"/>
                <w:sz w:val="16"/>
                <w:szCs w:val="16"/>
              </w:rPr>
              <w:t>）</w:t>
            </w:r>
            <w:r>
              <w:rPr>
                <w:color w:val="000000"/>
                <w:sz w:val="16"/>
                <w:szCs w:val="16"/>
              </w:rPr>
              <w:t>*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9D11C98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34.5%*</w:t>
            </w:r>
          </w:p>
        </w:tc>
        <w:tc>
          <w:tcPr>
            <w:tcW w:w="8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642F0B9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1.21x</w:t>
            </w:r>
          </w:p>
        </w:tc>
        <w:tc>
          <w:tcPr>
            <w:tcW w:w="851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119CCA3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0.14x</w:t>
            </w:r>
          </w:p>
        </w:tc>
        <w:tc>
          <w:tcPr>
            <w:tcW w:w="1134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5CC647A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IRR P100*</w:t>
            </w:r>
          </w:p>
        </w:tc>
        <w:tc>
          <w:tcPr>
            <w:tcW w:w="21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D377F4D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观察名单为空，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11 </w:t>
            </w:r>
            <w:r>
              <w:rPr>
                <w:color w:val="000000"/>
                <w:sz w:val="16"/>
                <w:szCs w:val="16"/>
              </w:rPr>
              <w:t>笔</w:t>
            </w:r>
            <w:proofErr w:type="gramEnd"/>
            <w:r>
              <w:rPr>
                <w:color w:val="000000"/>
                <w:sz w:val="16"/>
                <w:szCs w:val="16"/>
              </w:rPr>
              <w:t>在投全部绿灯；形式规模</w:t>
            </w:r>
            <w:proofErr w:type="gramStart"/>
            <w:r>
              <w:rPr>
                <w:color w:val="000000"/>
                <w:sz w:val="16"/>
                <w:szCs w:val="16"/>
              </w:rPr>
              <w:t>约</w:t>
            </w:r>
            <w:r>
              <w:rPr>
                <w:color w:val="000000"/>
                <w:sz w:val="16"/>
                <w:szCs w:val="16"/>
              </w:rPr>
              <w:t xml:space="preserve"> €</w:t>
            </w:r>
            <w:proofErr w:type="gramEnd"/>
            <w:r>
              <w:rPr>
                <w:color w:val="000000"/>
                <w:sz w:val="16"/>
                <w:szCs w:val="16"/>
              </w:rPr>
              <w:t>435mm</w:t>
            </w:r>
          </w:p>
        </w:tc>
        <w:tc>
          <w:tcPr>
            <w:tcW w:w="2595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E3F1E7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51B84C9" w14:textId="3F910481" w:rsidR="00166CE4" w:rsidRDefault="00D675AC">
            <w:pPr>
              <w:spacing w:line="222" w:lineRule="auto"/>
            </w:pPr>
            <w:proofErr w:type="gramStart"/>
            <w:r>
              <w:rPr>
                <w:b/>
                <w:bCs/>
                <w:color w:val="1F7A3D"/>
                <w:sz w:val="16"/>
                <w:szCs w:val="16"/>
              </w:rPr>
              <w:t>持有</w:t>
            </w:r>
            <w:r>
              <w:rPr>
                <w:b/>
                <w:bCs/>
                <w:color w:val="1F7A3D"/>
                <w:sz w:val="16"/>
                <w:szCs w:val="16"/>
              </w:rPr>
              <w:t xml:space="preserve"> · </w:t>
            </w:r>
            <w:proofErr w:type="gramEnd"/>
            <w:r>
              <w:rPr>
                <w:b/>
                <w:bCs/>
                <w:color w:val="1F7A3D"/>
                <w:sz w:val="16"/>
                <w:szCs w:val="16"/>
              </w:rPr>
              <w:t>按计划</w:t>
            </w:r>
            <w:r w:rsidR="00D268C3">
              <w:rPr>
                <w:rFonts w:hint="eastAsia"/>
                <w:b/>
                <w:bCs/>
                <w:color w:val="1F7A3D"/>
                <w:sz w:val="16"/>
                <w:szCs w:val="16"/>
              </w:rPr>
              <w:t>call</w:t>
            </w:r>
            <w:r>
              <w:rPr>
                <w:b/>
                <w:bCs/>
                <w:color w:val="1F7A3D"/>
                <w:sz w:val="16"/>
                <w:szCs w:val="16"/>
              </w:rPr>
              <w:t>款</w:t>
            </w:r>
            <w:r>
              <w:rPr>
                <w:color w:val="1F7A3D"/>
                <w:sz w:val="16"/>
                <w:szCs w:val="16"/>
              </w:rPr>
              <w:t>：建仓期指标失真暂不对标；</w:t>
            </w:r>
          </w:p>
        </w:tc>
      </w:tr>
    </w:tbl>
    <w:p w14:paraId="0EBBCB24" w14:textId="77777777" w:rsidR="00166CE4" w:rsidRDefault="00D675AC">
      <w:pPr>
        <w:spacing w:before="24" w:after="40" w:line="230" w:lineRule="auto"/>
      </w:pPr>
      <w:r>
        <w:rPr>
          <w:i/>
          <w:iCs/>
          <w:color w:val="5A6B7B"/>
          <w:sz w:val="13"/>
          <w:szCs w:val="13"/>
        </w:rPr>
        <w:t xml:space="preserve">† </w:t>
      </w:r>
      <w:r>
        <w:rPr>
          <w:i/>
          <w:iCs/>
          <w:color w:val="5A6B7B"/>
          <w:sz w:val="13"/>
          <w:szCs w:val="13"/>
        </w:rPr>
        <w:t>投资人口径，通常低于基金层面；</w:t>
      </w:r>
      <w:r>
        <w:rPr>
          <w:i/>
          <w:iCs/>
          <w:color w:val="5A6B7B"/>
          <w:sz w:val="13"/>
          <w:szCs w:val="13"/>
        </w:rPr>
        <w:t xml:space="preserve">* </w:t>
      </w:r>
      <w:r>
        <w:rPr>
          <w:i/>
          <w:iCs/>
          <w:color w:val="5A6B7B"/>
          <w:sz w:val="13"/>
          <w:szCs w:val="13"/>
        </w:rPr>
        <w:t>建仓期扭曲（认缴仅提取</w:t>
      </w:r>
      <w:r>
        <w:rPr>
          <w:i/>
          <w:iCs/>
          <w:color w:val="5A6B7B"/>
          <w:sz w:val="13"/>
          <w:szCs w:val="13"/>
        </w:rPr>
        <w:t xml:space="preserve"> 2.5%</w:t>
      </w:r>
      <w:r>
        <w:rPr>
          <w:i/>
          <w:iCs/>
          <w:color w:val="5A6B7B"/>
          <w:sz w:val="13"/>
          <w:szCs w:val="13"/>
        </w:rPr>
        <w:t>）。同年份百分位基于</w:t>
      </w:r>
      <w:r>
        <w:rPr>
          <w:i/>
          <w:iCs/>
          <w:color w:val="5A6B7B"/>
          <w:sz w:val="13"/>
          <w:szCs w:val="13"/>
        </w:rPr>
        <w:t xml:space="preserve"> </w:t>
      </w:r>
      <w:proofErr w:type="spellStart"/>
      <w:r>
        <w:rPr>
          <w:i/>
          <w:iCs/>
          <w:color w:val="5A6B7B"/>
          <w:sz w:val="13"/>
          <w:szCs w:val="13"/>
        </w:rPr>
        <w:t>PitchBook</w:t>
      </w:r>
      <w:proofErr w:type="spellEnd"/>
      <w:r>
        <w:rPr>
          <w:i/>
          <w:iCs/>
          <w:color w:val="5A6B7B"/>
          <w:sz w:val="13"/>
          <w:szCs w:val="13"/>
        </w:rPr>
        <w:t xml:space="preserve"> 333 </w:t>
      </w:r>
      <w:r>
        <w:rPr>
          <w:i/>
          <w:iCs/>
          <w:color w:val="5A6B7B"/>
          <w:sz w:val="13"/>
          <w:szCs w:val="13"/>
        </w:rPr>
        <w:t>只北美直接贷款基金；各基金</w:t>
      </w:r>
      <w:r>
        <w:rPr>
          <w:i/>
          <w:iCs/>
          <w:color w:val="5A6B7B"/>
          <w:sz w:val="13"/>
          <w:szCs w:val="13"/>
        </w:rPr>
        <w:t xml:space="preserve"> 2026Q1 </w:t>
      </w:r>
      <w:r>
        <w:rPr>
          <w:i/>
          <w:iCs/>
          <w:color w:val="5A6B7B"/>
          <w:sz w:val="13"/>
          <w:szCs w:val="13"/>
        </w:rPr>
        <w:t>报告；</w:t>
      </w:r>
      <w:proofErr w:type="spellStart"/>
      <w:r>
        <w:rPr>
          <w:i/>
          <w:iCs/>
          <w:color w:val="5A6B7B"/>
          <w:sz w:val="13"/>
          <w:szCs w:val="13"/>
        </w:rPr>
        <w:t>Junson</w:t>
      </w:r>
      <w:proofErr w:type="spellEnd"/>
      <w:r>
        <w:rPr>
          <w:i/>
          <w:iCs/>
          <w:color w:val="5A6B7B"/>
          <w:sz w:val="13"/>
          <w:szCs w:val="13"/>
        </w:rPr>
        <w:t xml:space="preserve"> </w:t>
      </w:r>
      <w:r>
        <w:rPr>
          <w:i/>
          <w:iCs/>
          <w:color w:val="5A6B7B"/>
          <w:sz w:val="13"/>
          <w:szCs w:val="13"/>
        </w:rPr>
        <w:t>计算。组合层面动作：把握当前投放窗口，将</w:t>
      </w:r>
      <w:r>
        <w:rPr>
          <w:i/>
          <w:iCs/>
          <w:color w:val="5A6B7B"/>
          <w:sz w:val="13"/>
          <w:szCs w:val="13"/>
        </w:rPr>
        <w:t xml:space="preserve"> 2028 </w:t>
      </w:r>
      <w:r>
        <w:rPr>
          <w:i/>
          <w:iCs/>
          <w:color w:val="5A6B7B"/>
          <w:sz w:val="13"/>
          <w:szCs w:val="13"/>
        </w:rPr>
        <w:t>年到期高峰纳入久期与再融资管理；新基金尽调与存量管理人复核一律要求按年份拆分的停止计息与</w:t>
      </w:r>
      <w:r>
        <w:rPr>
          <w:i/>
          <w:iCs/>
          <w:color w:val="5A6B7B"/>
          <w:sz w:val="13"/>
          <w:szCs w:val="13"/>
        </w:rPr>
        <w:t xml:space="preserve"> PIK </w:t>
      </w:r>
      <w:r>
        <w:rPr>
          <w:i/>
          <w:iCs/>
          <w:color w:val="5A6B7B"/>
          <w:sz w:val="13"/>
          <w:szCs w:val="13"/>
        </w:rPr>
        <w:t>指标。</w:t>
      </w:r>
    </w:p>
    <w:p w14:paraId="556CE856" w14:textId="77777777" w:rsidR="00166CE4" w:rsidRDefault="00D675AC">
      <w:pPr>
        <w:spacing w:before="40" w:after="34" w:line="230" w:lineRule="auto"/>
      </w:pPr>
      <w:r>
        <w:rPr>
          <w:b/>
          <w:bCs/>
          <w:color w:val="2E6DA4"/>
        </w:rPr>
        <w:t>Watch List</w:t>
      </w:r>
      <w:r>
        <w:rPr>
          <w:b/>
          <w:bCs/>
          <w:color w:val="2E6DA4"/>
        </w:rPr>
        <w:t>（下季核对项与信号）</w:t>
      </w:r>
    </w:p>
    <w:tbl>
      <w:tblPr>
        <w:tblW w:w="10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2450"/>
        <w:gridCol w:w="1583"/>
        <w:gridCol w:w="3162"/>
      </w:tblGrid>
      <w:tr w:rsidR="00166CE4" w14:paraId="4B6A5682" w14:textId="77777777" w:rsidTr="00D268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E1A174A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监测项</w:t>
            </w:r>
          </w:p>
        </w:tc>
        <w:tc>
          <w:tcPr>
            <w:tcW w:w="2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9FC48E0" w14:textId="77777777" w:rsidR="00166CE4" w:rsidRDefault="00D675AC">
            <w:pPr>
              <w:spacing w:line="22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当前</w:t>
            </w:r>
          </w:p>
        </w:tc>
        <w:tc>
          <w:tcPr>
            <w:tcW w:w="1583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3E848ECB" w14:textId="77777777" w:rsidR="00166CE4" w:rsidRDefault="00D675AC">
            <w:pPr>
              <w:spacing w:line="222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信号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时点</w:t>
            </w:r>
          </w:p>
        </w:tc>
        <w:tc>
          <w:tcPr>
            <w:tcW w:w="316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1F3B5B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E66DE47" w14:textId="77777777" w:rsidR="00166CE4" w:rsidRDefault="00D675AC">
            <w:pPr>
              <w:spacing w:line="22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意义</w:t>
            </w:r>
          </w:p>
        </w:tc>
      </w:tr>
      <w:tr w:rsidR="00166CE4" w14:paraId="0F630E32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98597DC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A&amp;E </w:t>
            </w:r>
            <w:r>
              <w:rPr>
                <w:color w:val="000000"/>
                <w:sz w:val="16"/>
                <w:szCs w:val="16"/>
              </w:rPr>
              <w:t>比例与</w:t>
            </w:r>
            <w:r>
              <w:rPr>
                <w:color w:val="000000"/>
                <w:sz w:val="16"/>
                <w:szCs w:val="16"/>
              </w:rPr>
              <w:t xml:space="preserve"> PIK </w:t>
            </w:r>
            <w:r>
              <w:rPr>
                <w:color w:val="000000"/>
                <w:sz w:val="16"/>
                <w:szCs w:val="16"/>
              </w:rPr>
              <w:t>条款修改比例</w:t>
            </w:r>
          </w:p>
        </w:tc>
        <w:tc>
          <w:tcPr>
            <w:tcW w:w="2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51FBC93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到期桶持续后移</w:t>
            </w:r>
          </w:p>
        </w:tc>
        <w:tc>
          <w:tcPr>
            <w:tcW w:w="1583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D920B39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持续上升</w:t>
            </w:r>
          </w:p>
        </w:tc>
        <w:tc>
          <w:tcPr>
            <w:tcW w:w="316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6C56FE8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「流动性问题</w:t>
            </w:r>
            <w:r>
              <w:rPr>
                <w:color w:val="000000"/>
                <w:sz w:val="16"/>
                <w:szCs w:val="16"/>
              </w:rPr>
              <w:t>→</w:t>
            </w:r>
            <w:r>
              <w:rPr>
                <w:color w:val="000000"/>
                <w:sz w:val="16"/>
                <w:szCs w:val="16"/>
              </w:rPr>
              <w:t>偿付问题」的最早信号，优于违约率本身</w:t>
            </w:r>
          </w:p>
        </w:tc>
      </w:tr>
      <w:tr w:rsidR="00166CE4" w14:paraId="48B831C6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62451D4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BDC </w:t>
            </w:r>
            <w:r>
              <w:rPr>
                <w:color w:val="000000"/>
                <w:sz w:val="16"/>
                <w:szCs w:val="16"/>
              </w:rPr>
              <w:t>停止计息比例</w:t>
            </w:r>
          </w:p>
        </w:tc>
        <w:tc>
          <w:tcPr>
            <w:tcW w:w="2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1A641EAA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2.8%</w:t>
            </w:r>
            <w:r>
              <w:rPr>
                <w:color w:val="000000"/>
                <w:sz w:val="16"/>
                <w:szCs w:val="16"/>
              </w:rPr>
              <w:t>（五年高）</w:t>
            </w:r>
          </w:p>
        </w:tc>
        <w:tc>
          <w:tcPr>
            <w:tcW w:w="1583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DF921C6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能否稳</w:t>
            </w:r>
            <w:proofErr w:type="gramStart"/>
            <w:r>
              <w:rPr>
                <w:color w:val="000000"/>
                <w:sz w:val="16"/>
                <w:szCs w:val="16"/>
              </w:rPr>
              <w:t>在</w:t>
            </w:r>
            <w:r>
              <w:rPr>
                <w:color w:val="000000"/>
                <w:sz w:val="16"/>
                <w:szCs w:val="16"/>
              </w:rPr>
              <w:t xml:space="preserve"> 3% </w:t>
            </w:r>
            <w:proofErr w:type="gramEnd"/>
            <w:r>
              <w:rPr>
                <w:color w:val="000000"/>
                <w:sz w:val="16"/>
                <w:szCs w:val="16"/>
              </w:rPr>
              <w:t>以内</w:t>
            </w:r>
          </w:p>
        </w:tc>
        <w:tc>
          <w:tcPr>
            <w:tcW w:w="316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9915D62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上市</w:t>
            </w:r>
            <w:r>
              <w:rPr>
                <w:color w:val="000000"/>
                <w:sz w:val="16"/>
                <w:szCs w:val="16"/>
              </w:rPr>
              <w:t>/</w:t>
            </w:r>
            <w:r>
              <w:rPr>
                <w:color w:val="000000"/>
                <w:sz w:val="16"/>
                <w:szCs w:val="16"/>
              </w:rPr>
              <w:t>非</w:t>
            </w:r>
            <w:proofErr w:type="gramStart"/>
            <w:r>
              <w:rPr>
                <w:color w:val="000000"/>
                <w:sz w:val="16"/>
                <w:szCs w:val="16"/>
              </w:rPr>
              <w:t>上市</w:t>
            </w:r>
            <w:r>
              <w:rPr>
                <w:color w:val="000000"/>
                <w:sz w:val="16"/>
                <w:szCs w:val="16"/>
              </w:rPr>
              <w:t xml:space="preserve"> ~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2.5pp </w:t>
            </w:r>
            <w:r>
              <w:rPr>
                <w:color w:val="000000"/>
                <w:sz w:val="16"/>
                <w:szCs w:val="16"/>
              </w:rPr>
              <w:t>差距是否随年份成熟收敛</w:t>
            </w:r>
          </w:p>
        </w:tc>
      </w:tr>
      <w:tr w:rsidR="00166CE4" w14:paraId="782F5068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D5A431B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对标组四分位迁移</w:t>
            </w:r>
          </w:p>
        </w:tc>
        <w:tc>
          <w:tcPr>
            <w:tcW w:w="2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ACD5C44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2023 </w:t>
            </w:r>
            <w:r>
              <w:rPr>
                <w:color w:val="000000"/>
                <w:sz w:val="16"/>
                <w:szCs w:val="16"/>
              </w:rPr>
              <w:t>年份</w:t>
            </w:r>
            <w:r>
              <w:rPr>
                <w:color w:val="000000"/>
                <w:sz w:val="16"/>
                <w:szCs w:val="16"/>
              </w:rPr>
              <w:t xml:space="preserve"> IRR </w:t>
            </w:r>
            <w:r>
              <w:rPr>
                <w:color w:val="000000"/>
                <w:sz w:val="16"/>
                <w:szCs w:val="16"/>
              </w:rPr>
              <w:t>分化</w:t>
            </w:r>
            <w:r>
              <w:rPr>
                <w:color w:val="000000"/>
                <w:sz w:val="16"/>
                <w:szCs w:val="16"/>
              </w:rPr>
              <w:t xml:space="preserve"> 4.6pp</w:t>
            </w:r>
            <w:r>
              <w:rPr>
                <w:color w:val="000000"/>
                <w:sz w:val="16"/>
                <w:szCs w:val="16"/>
              </w:rPr>
              <w:t>；</w:t>
            </w:r>
            <w:r>
              <w:rPr>
                <w:color w:val="000000"/>
                <w:sz w:val="16"/>
                <w:szCs w:val="16"/>
              </w:rPr>
              <w:t xml:space="preserve">2024 </w:t>
            </w:r>
            <w:r>
              <w:rPr>
                <w:color w:val="000000"/>
                <w:sz w:val="16"/>
                <w:szCs w:val="16"/>
              </w:rPr>
              <w:t>年份</w:t>
            </w:r>
            <w:r>
              <w:rPr>
                <w:color w:val="000000"/>
                <w:sz w:val="16"/>
                <w:szCs w:val="16"/>
              </w:rPr>
              <w:t xml:space="preserve"> TVPI </w:t>
            </w:r>
            <w:r>
              <w:rPr>
                <w:color w:val="000000"/>
                <w:sz w:val="16"/>
                <w:szCs w:val="16"/>
              </w:rPr>
              <w:t>分化仅</w:t>
            </w:r>
            <w:r>
              <w:rPr>
                <w:color w:val="000000"/>
                <w:sz w:val="16"/>
                <w:szCs w:val="16"/>
              </w:rPr>
              <w:t xml:space="preserve"> 0.04x</w:t>
            </w:r>
          </w:p>
        </w:tc>
        <w:tc>
          <w:tcPr>
            <w:tcW w:w="1583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3598766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2026Q4 </w:t>
            </w:r>
            <w:r>
              <w:rPr>
                <w:color w:val="000000"/>
                <w:sz w:val="16"/>
                <w:szCs w:val="16"/>
              </w:rPr>
              <w:t>起</w:t>
            </w:r>
          </w:p>
        </w:tc>
        <w:tc>
          <w:tcPr>
            <w:tcW w:w="316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CAC4711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 xml:space="preserve">AI / </w:t>
            </w:r>
            <w:r>
              <w:rPr>
                <w:color w:val="000000"/>
                <w:sz w:val="16"/>
                <w:szCs w:val="16"/>
              </w:rPr>
              <w:t>软件重定价何时传导至基金估值</w:t>
            </w:r>
          </w:p>
        </w:tc>
      </w:tr>
      <w:tr w:rsidR="00166CE4" w14:paraId="2DB0C673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A2CA216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并购与</w:t>
            </w:r>
            <w:r>
              <w:rPr>
                <w:color w:val="000000"/>
                <w:sz w:val="16"/>
                <w:szCs w:val="16"/>
              </w:rPr>
              <w:t xml:space="preserve"> sponsor </w:t>
            </w:r>
            <w:r>
              <w:rPr>
                <w:color w:val="000000"/>
                <w:sz w:val="16"/>
                <w:szCs w:val="16"/>
              </w:rPr>
              <w:t>退出活跃度</w:t>
            </w:r>
          </w:p>
        </w:tc>
        <w:tc>
          <w:tcPr>
            <w:tcW w:w="2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2D530D05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 xml:space="preserve">Q2 </w:t>
            </w:r>
            <w:r>
              <w:rPr>
                <w:color w:val="000000"/>
                <w:sz w:val="16"/>
                <w:szCs w:val="16"/>
              </w:rPr>
              <w:t>并购停摆</w:t>
            </w:r>
          </w:p>
        </w:tc>
        <w:tc>
          <w:tcPr>
            <w:tcW w:w="1583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6627494A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回升时点</w:t>
            </w:r>
          </w:p>
        </w:tc>
        <w:tc>
          <w:tcPr>
            <w:tcW w:w="316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C3378DF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直接决定回款速度与</w:t>
            </w:r>
            <w:r>
              <w:rPr>
                <w:color w:val="000000"/>
                <w:sz w:val="16"/>
                <w:szCs w:val="16"/>
              </w:rPr>
              <w:t xml:space="preserve"> DPI </w:t>
            </w:r>
            <w:r>
              <w:rPr>
                <w:color w:val="000000"/>
                <w:sz w:val="16"/>
                <w:szCs w:val="16"/>
              </w:rPr>
              <w:t>曲线</w:t>
            </w:r>
          </w:p>
        </w:tc>
      </w:tr>
      <w:tr w:rsidR="00166CE4" w14:paraId="4F913194" w14:textId="77777777" w:rsidTr="00D268C3">
        <w:tblPrEx>
          <w:tblCellMar>
            <w:top w:w="0" w:type="dxa"/>
            <w:bottom w:w="0" w:type="dxa"/>
          </w:tblCellMar>
        </w:tblPrEx>
        <w:tc>
          <w:tcPr>
            <w:tcW w:w="30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71B9EF88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三只</w:t>
            </w:r>
            <w:proofErr w:type="gramStart"/>
            <w:r>
              <w:rPr>
                <w:color w:val="000000"/>
                <w:sz w:val="16"/>
                <w:szCs w:val="16"/>
              </w:rPr>
              <w:t>基金</w:t>
            </w:r>
            <w:r>
              <w:rPr>
                <w:color w:val="000000"/>
                <w:sz w:val="16"/>
                <w:szCs w:val="16"/>
              </w:rPr>
              <w:t xml:space="preserve"> Q2 </w:t>
            </w:r>
            <w:proofErr w:type="gramEnd"/>
            <w:r>
              <w:rPr>
                <w:color w:val="000000"/>
                <w:sz w:val="16"/>
                <w:szCs w:val="16"/>
              </w:rPr>
              <w:t>估值</w:t>
            </w:r>
            <w:r>
              <w:rPr>
                <w:color w:val="000000"/>
                <w:sz w:val="16"/>
                <w:szCs w:val="16"/>
              </w:rPr>
              <w:t xml:space="preserve"> vs </w:t>
            </w:r>
            <w:r>
              <w:rPr>
                <w:color w:val="000000"/>
                <w:sz w:val="16"/>
                <w:szCs w:val="16"/>
              </w:rPr>
              <w:t>二级成交价</w:t>
            </w:r>
          </w:p>
        </w:tc>
        <w:tc>
          <w:tcPr>
            <w:tcW w:w="245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052738BC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按</w:t>
            </w:r>
            <w:r>
              <w:rPr>
                <w:color w:val="000000"/>
                <w:sz w:val="16"/>
                <w:szCs w:val="16"/>
              </w:rPr>
              <w:t xml:space="preserve"> 3/</w:t>
            </w:r>
            <w:proofErr w:type="gramStart"/>
            <w:r>
              <w:rPr>
                <w:color w:val="000000"/>
                <w:sz w:val="16"/>
                <w:szCs w:val="16"/>
              </w:rPr>
              <w:t xml:space="preserve">31 </w:t>
            </w:r>
            <w:r>
              <w:rPr>
                <w:color w:val="000000"/>
                <w:sz w:val="16"/>
                <w:szCs w:val="16"/>
              </w:rPr>
              <w:t>估</w:t>
            </w:r>
            <w:proofErr w:type="gramEnd"/>
            <w:r>
              <w:rPr>
                <w:color w:val="000000"/>
                <w:sz w:val="16"/>
                <w:szCs w:val="16"/>
              </w:rPr>
              <w:t>值</w:t>
            </w:r>
          </w:p>
        </w:tc>
        <w:tc>
          <w:tcPr>
            <w:tcW w:w="1583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4CB82F61" w14:textId="77777777" w:rsidR="00166CE4" w:rsidRDefault="00D675AC">
            <w:pPr>
              <w:spacing w:line="222" w:lineRule="auto"/>
              <w:jc w:val="center"/>
            </w:pPr>
            <w:r>
              <w:rPr>
                <w:color w:val="000000"/>
                <w:sz w:val="16"/>
                <w:szCs w:val="16"/>
              </w:rPr>
              <w:t>下季基金报告</w:t>
            </w:r>
          </w:p>
        </w:tc>
        <w:tc>
          <w:tcPr>
            <w:tcW w:w="3162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FFFFF"/>
            <w:tcMar>
              <w:top w:w="22" w:type="dxa"/>
              <w:left w:w="80" w:type="dxa"/>
              <w:bottom w:w="22" w:type="dxa"/>
              <w:right w:w="80" w:type="dxa"/>
            </w:tcMar>
            <w:vAlign w:val="center"/>
          </w:tcPr>
          <w:p w14:paraId="50FE8716" w14:textId="77777777" w:rsidR="00166CE4" w:rsidRDefault="00D675AC">
            <w:pPr>
              <w:spacing w:line="222" w:lineRule="auto"/>
            </w:pPr>
            <w:r>
              <w:rPr>
                <w:color w:val="000000"/>
                <w:sz w:val="16"/>
                <w:szCs w:val="16"/>
              </w:rPr>
              <w:t>软件敞口的估值滞后是当前最大盯防点</w:t>
            </w:r>
          </w:p>
        </w:tc>
      </w:tr>
    </w:tbl>
    <w:p w14:paraId="1027EBC3" w14:textId="77777777" w:rsidR="00D675AC" w:rsidRDefault="00D675AC" w:rsidP="00D268C3"/>
    <w:sectPr w:rsidR="00D675A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580" w:right="831" w:bottom="480" w:left="83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6E12" w14:textId="77777777" w:rsidR="00D675AC" w:rsidRDefault="00D675AC">
      <w:r>
        <w:separator/>
      </w:r>
    </w:p>
  </w:endnote>
  <w:endnote w:type="continuationSeparator" w:id="0">
    <w:p w14:paraId="6D1F50B3" w14:textId="77777777" w:rsidR="00D675AC" w:rsidRDefault="00D6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394D" w14:textId="77777777" w:rsidR="00166CE4" w:rsidRDefault="00D675AC">
    <w:pPr>
      <w:spacing w:line="230" w:lineRule="auto"/>
      <w:jc w:val="center"/>
    </w:pPr>
    <w:r>
      <w:rPr>
        <w:color w:val="8496A9"/>
        <w:sz w:val="13"/>
        <w:szCs w:val="13"/>
      </w:rPr>
      <w:t xml:space="preserve">For internal research use only — </w:t>
    </w:r>
    <w:proofErr w:type="spellStart"/>
    <w:r>
      <w:rPr>
        <w:color w:val="8496A9"/>
        <w:sz w:val="13"/>
        <w:szCs w:val="13"/>
      </w:rPr>
      <w:t>Junson</w:t>
    </w:r>
    <w:proofErr w:type="spellEnd"/>
    <w:r>
      <w:rPr>
        <w:color w:val="8496A9"/>
        <w:sz w:val="13"/>
        <w:szCs w:val="13"/>
      </w:rPr>
      <w:t xml:space="preserve"> AID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6460" w14:textId="77777777" w:rsidR="00166CE4" w:rsidRDefault="00D675AC">
    <w:pPr>
      <w:spacing w:line="230" w:lineRule="auto"/>
      <w:jc w:val="center"/>
    </w:pPr>
    <w:r>
      <w:rPr>
        <w:color w:val="8496A9"/>
        <w:sz w:val="13"/>
        <w:szCs w:val="13"/>
      </w:rPr>
      <w:t xml:space="preserve">For internal research use only — </w:t>
    </w:r>
    <w:proofErr w:type="spellStart"/>
    <w:r>
      <w:rPr>
        <w:color w:val="8496A9"/>
        <w:sz w:val="13"/>
        <w:szCs w:val="13"/>
      </w:rPr>
      <w:t>Junson</w:t>
    </w:r>
    <w:proofErr w:type="spellEnd"/>
    <w:r>
      <w:rPr>
        <w:color w:val="8496A9"/>
        <w:sz w:val="13"/>
        <w:szCs w:val="13"/>
      </w:rPr>
      <w:t xml:space="preserve"> AID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2EC0" w14:textId="77777777" w:rsidR="00D675AC" w:rsidRDefault="00D675AC">
      <w:r>
        <w:separator/>
      </w:r>
    </w:p>
  </w:footnote>
  <w:footnote w:type="continuationSeparator" w:id="0">
    <w:p w14:paraId="4761F315" w14:textId="77777777" w:rsidR="00D675AC" w:rsidRDefault="00D67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4B7F" w14:textId="77777777" w:rsidR="00166CE4" w:rsidRDefault="00D675AC">
    <w:pPr>
      <w:spacing w:line="230" w:lineRule="auto"/>
    </w:pPr>
    <w:r>
      <w:rPr>
        <w:color w:val="8496A9"/>
        <w:sz w:val="14"/>
        <w:szCs w:val="14"/>
      </w:rPr>
      <w:t>JUNSON Capital | Private Credit Quarterly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7632" w14:textId="77777777" w:rsidR="00166CE4" w:rsidRDefault="00166CE4">
    <w:pPr>
      <w:spacing w:line="23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26ED"/>
    <w:multiLevelType w:val="hybridMultilevel"/>
    <w:tmpl w:val="F774A382"/>
    <w:lvl w:ilvl="0" w:tplc="3E8C10E6">
      <w:start w:val="1"/>
      <w:numFmt w:val="bullet"/>
      <w:lvlText w:val="●"/>
      <w:lvlJc w:val="left"/>
      <w:pPr>
        <w:ind w:left="720" w:hanging="360"/>
      </w:pPr>
    </w:lvl>
    <w:lvl w:ilvl="1" w:tplc="CAC6AB34">
      <w:start w:val="1"/>
      <w:numFmt w:val="bullet"/>
      <w:lvlText w:val="○"/>
      <w:lvlJc w:val="left"/>
      <w:pPr>
        <w:ind w:left="1440" w:hanging="360"/>
      </w:pPr>
    </w:lvl>
    <w:lvl w:ilvl="2" w:tplc="7F486478">
      <w:start w:val="1"/>
      <w:numFmt w:val="bullet"/>
      <w:lvlText w:val="■"/>
      <w:lvlJc w:val="left"/>
      <w:pPr>
        <w:ind w:left="2160" w:hanging="360"/>
      </w:pPr>
    </w:lvl>
    <w:lvl w:ilvl="3" w:tplc="E04A1204">
      <w:start w:val="1"/>
      <w:numFmt w:val="bullet"/>
      <w:lvlText w:val="●"/>
      <w:lvlJc w:val="left"/>
      <w:pPr>
        <w:ind w:left="2880" w:hanging="360"/>
      </w:pPr>
    </w:lvl>
    <w:lvl w:ilvl="4" w:tplc="7BF4A708">
      <w:start w:val="1"/>
      <w:numFmt w:val="bullet"/>
      <w:lvlText w:val="○"/>
      <w:lvlJc w:val="left"/>
      <w:pPr>
        <w:ind w:left="3600" w:hanging="360"/>
      </w:pPr>
    </w:lvl>
    <w:lvl w:ilvl="5" w:tplc="82FC7B84">
      <w:start w:val="1"/>
      <w:numFmt w:val="bullet"/>
      <w:lvlText w:val="■"/>
      <w:lvlJc w:val="left"/>
      <w:pPr>
        <w:ind w:left="4320" w:hanging="360"/>
      </w:pPr>
    </w:lvl>
    <w:lvl w:ilvl="6" w:tplc="1ECCD46E">
      <w:start w:val="1"/>
      <w:numFmt w:val="bullet"/>
      <w:lvlText w:val="●"/>
      <w:lvlJc w:val="left"/>
      <w:pPr>
        <w:ind w:left="5040" w:hanging="360"/>
      </w:pPr>
    </w:lvl>
    <w:lvl w:ilvl="7" w:tplc="01CC6F3E">
      <w:start w:val="1"/>
      <w:numFmt w:val="bullet"/>
      <w:lvlText w:val="●"/>
      <w:lvlJc w:val="left"/>
      <w:pPr>
        <w:ind w:left="5760" w:hanging="360"/>
      </w:pPr>
    </w:lvl>
    <w:lvl w:ilvl="8" w:tplc="1894614C">
      <w:start w:val="1"/>
      <w:numFmt w:val="bullet"/>
      <w:lvlText w:val="●"/>
      <w:lvlJc w:val="left"/>
      <w:pPr>
        <w:ind w:left="6480" w:hanging="360"/>
      </w:pPr>
    </w:lvl>
  </w:abstractNum>
  <w:num w:numId="1" w16cid:durableId="201615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CE4"/>
    <w:rsid w:val="00166CE4"/>
    <w:rsid w:val="007942DB"/>
    <w:rsid w:val="00D268C3"/>
    <w:rsid w:val="00D6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0C02"/>
  <w15:docId w15:val="{170B2D80-19EE-4B46-917D-7B3745DA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DengXian" w:hAnsi="Calibri Light" w:cs="Calibri Light"/>
        <w:sz w:val="18"/>
        <w:szCs w:val="18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D05CCF851AC4192721B5C18719E0A" ma:contentTypeVersion="14" ma:contentTypeDescription="Create a new document." ma:contentTypeScope="" ma:versionID="78520571c042d76978e9ec0fe631ebdf">
  <xsd:schema xmlns:xsd="http://www.w3.org/2001/XMLSchema" xmlns:xs="http://www.w3.org/2001/XMLSchema" xmlns:p="http://schemas.microsoft.com/office/2006/metadata/properties" xmlns:ns2="bfbb1062-41e6-432c-9c43-d324a8966ea8" xmlns:ns3="99780c3d-ce84-4612-bd1f-c1310cd1ad15" targetNamespace="http://schemas.microsoft.com/office/2006/metadata/properties" ma:root="true" ma:fieldsID="956673cc0575f07931f680defeba172c" ns2:_="" ns3:_="">
    <xsd:import namespace="bfbb1062-41e6-432c-9c43-d324a8966ea8"/>
    <xsd:import namespace="99780c3d-ce84-4612-bd1f-c1310cd1ad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b1062-41e6-432c-9c43-d324a8966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af81b6-6ddb-4c7c-9707-17f1317d6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80c3d-ce84-4612-bd1f-c1310cd1ad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3fe86c-0038-4a3d-9f4e-054dcbe1eede}" ma:internalName="TaxCatchAll" ma:showField="CatchAllData" ma:web="99780c3d-ce84-4612-bd1f-c1310cd1ad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bb1062-41e6-432c-9c43-d324a8966ea8">
      <Terms xmlns="http://schemas.microsoft.com/office/infopath/2007/PartnerControls"/>
    </lcf76f155ced4ddcb4097134ff3c332f>
    <TaxCatchAll xmlns="99780c3d-ce84-4612-bd1f-c1310cd1ad15" xsi:nil="true"/>
  </documentManagement>
</p:properties>
</file>

<file path=customXml/itemProps1.xml><?xml version="1.0" encoding="utf-8"?>
<ds:datastoreItem xmlns:ds="http://schemas.openxmlformats.org/officeDocument/2006/customXml" ds:itemID="{827EFD9F-B606-499E-AA3E-B5A727D8FF72}"/>
</file>

<file path=customXml/itemProps2.xml><?xml version="1.0" encoding="utf-8"?>
<ds:datastoreItem xmlns:ds="http://schemas.openxmlformats.org/officeDocument/2006/customXml" ds:itemID="{EEC5A026-AB08-4D6B-8D9C-0912EC0FD2FA}"/>
</file>

<file path=customXml/itemProps3.xml><?xml version="1.0" encoding="utf-8"?>
<ds:datastoreItem xmlns:ds="http://schemas.openxmlformats.org/officeDocument/2006/customXml" ds:itemID="{0B4F7EEE-6B2B-4806-AEE8-A9DC4AB22C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Xiyang Zhao</cp:lastModifiedBy>
  <cp:revision>2</cp:revision>
  <dcterms:created xsi:type="dcterms:W3CDTF">2026-08-31T07:58:00Z</dcterms:created>
  <dcterms:modified xsi:type="dcterms:W3CDTF">2026-08-31T07:58:00Z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0x010100881D05CCF851AC4192721B5C18719E0A</vt:lpwstr>
  </property>
</Properties>
</file>