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E6ED" w14:textId="77777777" w:rsidR="00F842B3" w:rsidRDefault="007F444F">
      <w:pPr>
        <w:spacing w:after="60"/>
      </w:pPr>
      <w:r>
        <w:rPr>
          <w:b/>
          <w:bCs/>
          <w:color w:val="16283F"/>
          <w:sz w:val="52"/>
          <w:szCs w:val="52"/>
        </w:rPr>
        <w:t>JUNSON Capital</w:t>
      </w:r>
      <w:r>
        <w:rPr>
          <w:b/>
          <w:bCs/>
          <w:color w:val="2E6DA4"/>
          <w:sz w:val="52"/>
          <w:szCs w:val="52"/>
        </w:rPr>
        <w:t xml:space="preserve"> Research</w:t>
      </w:r>
    </w:p>
    <w:p w14:paraId="406AE6EE" w14:textId="77777777" w:rsidR="00F842B3" w:rsidRDefault="007F444F">
      <w:pPr>
        <w:spacing w:after="60"/>
      </w:pPr>
      <w:r>
        <w:rPr>
          <w:b/>
          <w:bCs/>
          <w:color w:val="16283F"/>
          <w:sz w:val="40"/>
          <w:szCs w:val="40"/>
        </w:rPr>
        <w:t>US Private Equity Quarterly Report (2026Q3)</w:t>
      </w:r>
    </w:p>
    <w:p w14:paraId="406AE6EF" w14:textId="77777777" w:rsidR="00F842B3" w:rsidRDefault="007F444F">
      <w:pPr>
        <w:tabs>
          <w:tab w:val="right" w:pos="9500"/>
        </w:tabs>
        <w:spacing w:after="200"/>
      </w:pPr>
      <w:r>
        <w:rPr>
          <w:color w:val="8C97A5"/>
          <w:sz w:val="17"/>
          <w:szCs w:val="17"/>
        </w:rPr>
        <w:t>Coverage: US PE / buyout &amp; LBO / middle market / GP stakes</w:t>
      </w:r>
      <w:r>
        <w:rPr>
          <w:color w:val="8C97A5"/>
          <w:sz w:val="17"/>
          <w:szCs w:val="17"/>
        </w:rPr>
        <w:tab/>
        <w:t>26 Aug, 2026</w:t>
      </w:r>
    </w:p>
    <w:p w14:paraId="406AE6F0" w14:textId="77777777" w:rsidR="00F842B3" w:rsidRDefault="007F444F">
      <w:pPr>
        <w:pStyle w:val="Heading1"/>
        <w:spacing w:before="280" w:after="120"/>
      </w:pPr>
      <w:r>
        <w:t>Market Overview</w:t>
      </w:r>
    </w:p>
    <w:p w14:paraId="406AE6F1" w14:textId="439482DF" w:rsidR="00F842B3" w:rsidRDefault="007F444F">
      <w:pPr>
        <w:spacing w:after="140" w:line="264" w:lineRule="auto"/>
        <w:jc w:val="both"/>
      </w:pPr>
      <w:r>
        <w:t xml:space="preserve">Q2 2026 was another false start for US private equity: deployment, exits and fundraising weakened together. Deal value fell </w:t>
      </w:r>
      <w:r>
        <w:rPr>
          <w:b/>
          <w:bCs/>
        </w:rPr>
        <w:t>-37.5% QoQ</w:t>
      </w:r>
      <w:r>
        <w:t xml:space="preserve"> to </w:t>
      </w:r>
      <w:r>
        <w:rPr>
          <w:b/>
          <w:bCs/>
        </w:rPr>
        <w:t>US$177.3bn</w:t>
      </w:r>
      <w:r>
        <w:t xml:space="preserve">, exit value nearly halved to </w:t>
      </w:r>
      <w:r>
        <w:rPr>
          <w:b/>
          <w:bCs/>
        </w:rPr>
        <w:t>US$102.6bn</w:t>
      </w:r>
      <w:r>
        <w:t xml:space="preserve">, and YTD fundraising of </w:t>
      </w:r>
      <w:r>
        <w:rPr>
          <w:b/>
          <w:bCs/>
        </w:rPr>
        <w:t>US$159.6bn</w:t>
      </w:r>
      <w:r>
        <w:t xml:space="preserve"> is flowing overwhelmingly to the largest managers. Valuation marks are holding while dry powder of </w:t>
      </w:r>
      <w:r>
        <w:rPr>
          <w:b/>
          <w:bCs/>
        </w:rPr>
        <w:t>US$1,067bn</w:t>
      </w:r>
      <w:r>
        <w:t xml:space="preserve"> offers only </w:t>
      </w:r>
      <w:r>
        <w:rPr>
          <w:b/>
          <w:bCs/>
        </w:rPr>
        <w:t>~0.9 years</w:t>
      </w:r>
      <w:r>
        <w:t xml:space="preserve"> of runway at the 2025 deployment pace — pressure that cuts toward deployment, not discipline. The through-line, as </w:t>
      </w:r>
      <w:proofErr w:type="spellStart"/>
      <w:r>
        <w:t>PitchBook</w:t>
      </w:r>
      <w:proofErr w:type="spellEnd"/>
      <w:r>
        <w:t xml:space="preserve"> puts it, is liquidity: until distributions resume in earnest, both fundraising and new deployment stay under pressure. </w:t>
      </w:r>
    </w:p>
    <w:p w14:paraId="406AE6F3" w14:textId="77777777" w:rsidR="00F842B3" w:rsidRDefault="007F444F">
      <w:pPr>
        <w:pStyle w:val="Heading1"/>
        <w:spacing w:before="280" w:after="120"/>
      </w:pPr>
      <w:r>
        <w:t>Deal Activity</w:t>
      </w:r>
    </w:p>
    <w:p w14:paraId="406AE6F4" w14:textId="77777777" w:rsidR="00F842B3" w:rsidRDefault="007F444F">
      <w:pPr>
        <w:pStyle w:val="Heading2"/>
        <w:spacing w:before="200" w:after="100"/>
      </w:pPr>
      <w:r>
        <w:t>2.1 Deal value and count</w:t>
      </w:r>
    </w:p>
    <w:p w14:paraId="406AE6F5" w14:textId="77777777" w:rsidR="00F842B3" w:rsidRDefault="007F444F">
      <w:pPr>
        <w:spacing w:after="140" w:line="264" w:lineRule="auto"/>
        <w:jc w:val="both"/>
      </w:pPr>
      <w:r>
        <w:t xml:space="preserve">Deployment stalled abruptly. Q2 deal value of </w:t>
      </w:r>
      <w:r>
        <w:rPr>
          <w:b/>
          <w:bCs/>
        </w:rPr>
        <w:t>US$177.3bn</w:t>
      </w:r>
      <w:r>
        <w:t xml:space="preserve"> was down </w:t>
      </w:r>
      <w:r>
        <w:rPr>
          <w:b/>
          <w:bCs/>
        </w:rPr>
        <w:t>37.5%</w:t>
      </w:r>
      <w:r>
        <w:t xml:space="preserve"> QoQ and </w:t>
      </w:r>
      <w:r>
        <w:rPr>
          <w:b/>
          <w:bCs/>
        </w:rPr>
        <w:t>23.9%</w:t>
      </w:r>
      <w:r>
        <w:t xml:space="preserve"> YoY — one of the steepest single-quarter contractions in </w:t>
      </w:r>
      <w:proofErr w:type="spellStart"/>
      <w:r>
        <w:t>PitchBook's</w:t>
      </w:r>
      <w:proofErr w:type="spellEnd"/>
      <w:r>
        <w:t xml:space="preserve"> dataset — while deal count held up at </w:t>
      </w:r>
      <w:r>
        <w:rPr>
          <w:b/>
          <w:bCs/>
        </w:rPr>
        <w:t>2,384</w:t>
      </w:r>
      <w:r>
        <w:t xml:space="preserve"> (-1.1% QoQ), meaning the pullback concentrated in larger transactions. The forces were simultaneous rather than singular: a Fed that shelved cuts and debates hikes, wider direct-lending spreads, an energy-driven inflation shock, and an accelerating AI-driven reassessment of software.</w:t>
      </w:r>
    </w:p>
    <w:p w14:paraId="406AE6F6" w14:textId="77777777" w:rsidR="00F842B3" w:rsidRDefault="007F444F">
      <w:pPr>
        <w:keepNext/>
        <w:spacing w:before="60" w:after="30"/>
      </w:pPr>
      <w:r>
        <w:rPr>
          <w:b/>
          <w:bCs/>
          <w:color w:val="16283F"/>
        </w:rPr>
        <w:t>Exhibit 1: US PE deal value and count by quarter</w:t>
      </w:r>
    </w:p>
    <w:p w14:paraId="406AE6F7" w14:textId="77777777" w:rsidR="00F842B3" w:rsidRDefault="007F444F">
      <w:r>
        <w:rPr>
          <w:noProof/>
        </w:rPr>
        <w:drawing>
          <wp:inline distT="0" distB="0" distL="0" distR="0" wp14:anchorId="406AE96D" wp14:editId="406AE96E">
            <wp:extent cx="6143625" cy="2733675"/>
            <wp:effectExtent l="0" t="0" r="0" b="0"/>
            <wp:docPr id="1" name="Picture 1">
              <a:extLst xmlns:a="http://schemas.openxmlformats.org/drawingml/2006/main">
                <a:ext uri="{FF2B5EF4-FFF2-40B4-BE49-F238E27FC236}">
                  <a16:creationId xmlns:a16="http://schemas.microsoft.com/office/drawing/2014/main" id="{1EF40B47-897E-4BF3-B2DA-3A71B47EBC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2733675"/>
                    </a:xfrm>
                    <a:prstGeom prst="rect">
                      <a:avLst/>
                    </a:prstGeom>
                  </pic:spPr>
                </pic:pic>
              </a:graphicData>
            </a:graphic>
          </wp:inline>
        </w:drawing>
      </w:r>
    </w:p>
    <w:p w14:paraId="406AE6F8" w14:textId="77777777" w:rsidR="00F842B3" w:rsidRDefault="007F444F">
      <w:pPr>
        <w:spacing w:before="30" w:after="180"/>
      </w:pPr>
      <w:r>
        <w:rPr>
          <w:color w:val="5A6B7B"/>
          <w:sz w:val="14"/>
          <w:szCs w:val="14"/>
        </w:rPr>
        <w:t xml:space="preserve">Note: Total deal value and count including </w:t>
      </w:r>
      <w:proofErr w:type="spellStart"/>
      <w:r>
        <w:rPr>
          <w:color w:val="5A6B7B"/>
          <w:sz w:val="14"/>
          <w:szCs w:val="14"/>
        </w:rPr>
        <w:t>PitchBook</w:t>
      </w:r>
      <w:proofErr w:type="spellEnd"/>
      <w:r>
        <w:rPr>
          <w:color w:val="5A6B7B"/>
          <w:sz w:val="14"/>
          <w:szCs w:val="14"/>
        </w:rPr>
        <w:t xml:space="preserve"> estimated figures; count on right scale. Source: </w:t>
      </w:r>
      <w:proofErr w:type="spellStart"/>
      <w:r>
        <w:rPr>
          <w:color w:val="5A6B7B"/>
          <w:sz w:val="14"/>
          <w:szCs w:val="14"/>
        </w:rPr>
        <w:t>PitchBook</w:t>
      </w:r>
      <w:proofErr w:type="spellEnd"/>
      <w:r>
        <w:rPr>
          <w:color w:val="5A6B7B"/>
          <w:sz w:val="14"/>
          <w:szCs w:val="14"/>
        </w:rPr>
        <w:t>; as of 30 Jun 2026.</w:t>
      </w:r>
    </w:p>
    <w:p w14:paraId="406AE6F9" w14:textId="77777777" w:rsidR="00F842B3" w:rsidRDefault="007F444F">
      <w:pPr>
        <w:pStyle w:val="Heading2"/>
        <w:spacing w:before="200" w:after="100"/>
      </w:pPr>
      <w:r>
        <w:t>2.2 Deal composition</w:t>
      </w:r>
    </w:p>
    <w:p w14:paraId="406AE6FA" w14:textId="77777777" w:rsidR="00F842B3" w:rsidRDefault="007F444F">
      <w:pPr>
        <w:spacing w:after="140" w:line="264" w:lineRule="auto"/>
        <w:jc w:val="both"/>
      </w:pPr>
      <w:r>
        <w:t xml:space="preserve">The structural work is being done by add-ons: </w:t>
      </w:r>
      <w:r>
        <w:rPr>
          <w:b/>
          <w:bCs/>
        </w:rPr>
        <w:t>75.2%</w:t>
      </w:r>
      <w:r>
        <w:t xml:space="preserve"> of buyout count and </w:t>
      </w:r>
      <w:r>
        <w:rPr>
          <w:b/>
          <w:bCs/>
        </w:rPr>
        <w:t>40.8%</w:t>
      </w:r>
      <w:r>
        <w:t xml:space="preserve"> of buyout value YTD. Median deal size held at </w:t>
      </w:r>
      <w:r>
        <w:rPr>
          <w:b/>
          <w:bCs/>
        </w:rPr>
        <w:t>US$53.4m</w:t>
      </w:r>
      <w:r>
        <w:t xml:space="preserve"> in Q2 while the average fell with the megadeal retreat — consistent with a market still transacting in the middle while the top end waits. Secondary buyouts held around </w:t>
      </w:r>
      <w:r>
        <w:rPr>
          <w:b/>
          <w:bCs/>
        </w:rPr>
        <w:t>25%</w:t>
      </w:r>
      <w:r>
        <w:t xml:space="preserve"> of buyout value: sponsor-to-sponsor remains a working exit lane even in a weak tape.</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01" w14:textId="77777777">
        <w:tc>
          <w:tcPr>
            <w:tcW w:w="4650" w:type="dxa"/>
            <w:tcMar>
              <w:top w:w="30" w:type="dxa"/>
              <w:left w:w="50" w:type="dxa"/>
              <w:bottom w:w="30" w:type="dxa"/>
              <w:right w:w="50" w:type="dxa"/>
            </w:tcMar>
          </w:tcPr>
          <w:p w14:paraId="406AE6FB" w14:textId="77777777" w:rsidR="00F842B3" w:rsidRDefault="007F444F">
            <w:pPr>
              <w:keepNext/>
              <w:spacing w:before="60" w:after="30"/>
            </w:pPr>
            <w:r>
              <w:rPr>
                <w:b/>
                <w:bCs/>
                <w:color w:val="16283F"/>
              </w:rPr>
              <w:lastRenderedPageBreak/>
              <w:t>Exhibit 2: Add-on share of US buyout count</w:t>
            </w:r>
          </w:p>
          <w:p w14:paraId="406AE6FC" w14:textId="77777777" w:rsidR="00F842B3" w:rsidRDefault="007F444F">
            <w:r>
              <w:rPr>
                <w:noProof/>
              </w:rPr>
              <w:drawing>
                <wp:inline distT="0" distB="0" distL="0" distR="0" wp14:anchorId="406AE96F" wp14:editId="406AE970">
                  <wp:extent cx="2857500" cy="2047875"/>
                  <wp:effectExtent l="0" t="0" r="0" b="0"/>
                  <wp:docPr id="1877237805" name="Picture 1877237805">
                    <a:extLst xmlns:a="http://schemas.openxmlformats.org/drawingml/2006/main">
                      <a:ext uri="{FF2B5EF4-FFF2-40B4-BE49-F238E27FC236}">
                        <a16:creationId xmlns:a16="http://schemas.microsoft.com/office/drawing/2014/main" id="{C9D9D9E8-0B5C-4DDA-8665-D8948BA2AE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047875"/>
                          </a:xfrm>
                          <a:prstGeom prst="rect">
                            <a:avLst/>
                          </a:prstGeom>
                        </pic:spPr>
                      </pic:pic>
                    </a:graphicData>
                  </a:graphic>
                </wp:inline>
              </w:drawing>
            </w:r>
          </w:p>
          <w:p w14:paraId="406AE6FD" w14:textId="77777777" w:rsidR="00F842B3" w:rsidRDefault="007F444F">
            <w:pPr>
              <w:spacing w:before="30" w:after="40"/>
            </w:pPr>
            <w:r>
              <w:rPr>
                <w:color w:val="5A6B7B"/>
                <w:sz w:val="14"/>
                <w:szCs w:val="14"/>
              </w:rPr>
              <w:t xml:space="preserve">Note: Count basis; the value-basis share is 40.8%. Source: </w:t>
            </w:r>
            <w:proofErr w:type="spellStart"/>
            <w:r>
              <w:rPr>
                <w:color w:val="5A6B7B"/>
                <w:sz w:val="14"/>
                <w:szCs w:val="14"/>
              </w:rPr>
              <w:t>PitchBook</w:t>
            </w:r>
            <w:proofErr w:type="spellEnd"/>
            <w:r>
              <w:rPr>
                <w:color w:val="5A6B7B"/>
                <w:sz w:val="14"/>
                <w:szCs w:val="14"/>
              </w:rPr>
              <w:t>; as of 30 Jun 2026.</w:t>
            </w:r>
          </w:p>
        </w:tc>
        <w:tc>
          <w:tcPr>
            <w:tcW w:w="4650" w:type="dxa"/>
            <w:tcMar>
              <w:top w:w="30" w:type="dxa"/>
              <w:left w:w="50" w:type="dxa"/>
              <w:bottom w:w="30" w:type="dxa"/>
              <w:right w:w="50" w:type="dxa"/>
            </w:tcMar>
          </w:tcPr>
          <w:p w14:paraId="406AE6FE" w14:textId="77777777" w:rsidR="00F842B3" w:rsidRDefault="007F444F">
            <w:pPr>
              <w:keepNext/>
              <w:spacing w:before="60" w:after="30"/>
            </w:pPr>
            <w:r>
              <w:rPr>
                <w:b/>
                <w:bCs/>
                <w:color w:val="16283F"/>
              </w:rPr>
              <w:t>Exhibit 3: Median and average PE deal size (</w:t>
            </w:r>
            <w:proofErr w:type="spellStart"/>
            <w:r>
              <w:rPr>
                <w:b/>
                <w:bCs/>
                <w:color w:val="16283F"/>
              </w:rPr>
              <w:t>US$m</w:t>
            </w:r>
            <w:proofErr w:type="spellEnd"/>
            <w:r>
              <w:rPr>
                <w:b/>
                <w:bCs/>
                <w:color w:val="16283F"/>
              </w:rPr>
              <w:t>)</w:t>
            </w:r>
          </w:p>
          <w:p w14:paraId="406AE6FF" w14:textId="77777777" w:rsidR="00F842B3" w:rsidRDefault="007F444F">
            <w:r>
              <w:rPr>
                <w:noProof/>
              </w:rPr>
              <w:drawing>
                <wp:inline distT="0" distB="0" distL="0" distR="0" wp14:anchorId="406AE971" wp14:editId="406AE972">
                  <wp:extent cx="2857500" cy="2076450"/>
                  <wp:effectExtent l="0" t="0" r="0" b="0"/>
                  <wp:docPr id="1968234470" name="Picture 1968234470">
                    <a:extLst xmlns:a="http://schemas.openxmlformats.org/drawingml/2006/main">
                      <a:ext uri="{FF2B5EF4-FFF2-40B4-BE49-F238E27FC236}">
                        <a16:creationId xmlns:a16="http://schemas.microsoft.com/office/drawing/2014/main" id="{246D95E9-CE06-4EB9-AFBB-876B8FFEAC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076450"/>
                          </a:xfrm>
                          <a:prstGeom prst="rect">
                            <a:avLst/>
                          </a:prstGeom>
                        </pic:spPr>
                      </pic:pic>
                    </a:graphicData>
                  </a:graphic>
                </wp:inline>
              </w:drawing>
            </w:r>
          </w:p>
          <w:p w14:paraId="406AE700" w14:textId="77777777" w:rsidR="00F842B3" w:rsidRDefault="007F444F">
            <w:pPr>
              <w:spacing w:before="30" w:after="40"/>
            </w:pPr>
            <w:r>
              <w:rPr>
                <w:color w:val="5A6B7B"/>
                <w:sz w:val="14"/>
                <w:szCs w:val="14"/>
              </w:rPr>
              <w:t xml:space="preserve">Note: Quarterly. Source: </w:t>
            </w:r>
            <w:proofErr w:type="spellStart"/>
            <w:r>
              <w:rPr>
                <w:color w:val="5A6B7B"/>
                <w:sz w:val="14"/>
                <w:szCs w:val="14"/>
              </w:rPr>
              <w:t>PitchBook</w:t>
            </w:r>
            <w:proofErr w:type="spellEnd"/>
            <w:r>
              <w:rPr>
                <w:color w:val="5A6B7B"/>
                <w:sz w:val="14"/>
                <w:szCs w:val="14"/>
              </w:rPr>
              <w:t>; as of 30 Jun 2026.</w:t>
            </w:r>
          </w:p>
        </w:tc>
      </w:tr>
    </w:tbl>
    <w:p w14:paraId="406AE702" w14:textId="77777777" w:rsidR="00F842B3" w:rsidRDefault="00F842B3">
      <w:pPr>
        <w:spacing w:after="100"/>
      </w:pPr>
    </w:p>
    <w:p w14:paraId="406AE703" w14:textId="77777777" w:rsidR="00F842B3" w:rsidRDefault="007F444F">
      <w:pPr>
        <w:spacing w:after="140" w:line="264" w:lineRule="auto"/>
        <w:jc w:val="both"/>
      </w:pPr>
      <w:r>
        <w:t xml:space="preserve">Sector rotation was the quarter's defining feature. Software — PE's anchor allocation of the last decade — collapsed to an estimated </w:t>
      </w:r>
      <w:r>
        <w:rPr>
          <w:b/>
          <w:bCs/>
        </w:rPr>
        <w:t>US$10.7bn</w:t>
      </w:r>
      <w:r>
        <w:t xml:space="preserve"> of deal value, </w:t>
      </w:r>
      <w:r>
        <w:rPr>
          <w:b/>
          <w:bCs/>
        </w:rPr>
        <w:t>-65.7%</w:t>
      </w:r>
      <w:r>
        <w:t xml:space="preserve"> YoY and </w:t>
      </w:r>
      <w:r>
        <w:rPr>
          <w:b/>
          <w:bCs/>
        </w:rPr>
        <w:t>90.3%</w:t>
      </w:r>
      <w:r>
        <w:t xml:space="preserve"> below peak, while energy is the standout at </w:t>
      </w:r>
      <w:r>
        <w:rPr>
          <w:b/>
          <w:bCs/>
        </w:rPr>
        <w:t>+80.5%</w:t>
      </w:r>
      <w:r>
        <w:t xml:space="preserve"> YTD on AI-driven structural power demand. YTD deal value splits </w:t>
      </w:r>
      <w:r>
        <w:rPr>
          <w:b/>
          <w:bCs/>
        </w:rPr>
        <w:t>33%</w:t>
      </w:r>
      <w:r>
        <w:t xml:space="preserve"> B2B, </w:t>
      </w:r>
      <w:r>
        <w:rPr>
          <w:b/>
          <w:bCs/>
        </w:rPr>
        <w:t>17%</w:t>
      </w:r>
      <w:r>
        <w:t xml:space="preserve"> energy, </w:t>
      </w:r>
      <w:r>
        <w:rPr>
          <w:b/>
          <w:bCs/>
        </w:rPr>
        <w:t>15%</w:t>
      </w:r>
      <w:r>
        <w:t xml:space="preserve"> IT.</w:t>
      </w:r>
    </w:p>
    <w:p w14:paraId="406AE704" w14:textId="77777777" w:rsidR="00F842B3" w:rsidRDefault="007F444F">
      <w:pPr>
        <w:keepNext/>
        <w:spacing w:before="60" w:after="30"/>
      </w:pPr>
      <w:r>
        <w:rPr>
          <w:b/>
          <w:bCs/>
          <w:color w:val="16283F"/>
        </w:rPr>
        <w:t>Exhibit 4: US software deal value and count by quarter</w:t>
      </w:r>
    </w:p>
    <w:p w14:paraId="406AE705" w14:textId="77777777" w:rsidR="00F842B3" w:rsidRDefault="007F444F">
      <w:r>
        <w:rPr>
          <w:noProof/>
        </w:rPr>
        <w:drawing>
          <wp:inline distT="0" distB="0" distL="0" distR="0" wp14:anchorId="406AE973" wp14:editId="406AE974">
            <wp:extent cx="6143625" cy="2733675"/>
            <wp:effectExtent l="0" t="0" r="0" b="0"/>
            <wp:docPr id="535010369" name="Picture 535010369">
              <a:extLst xmlns:a="http://schemas.openxmlformats.org/drawingml/2006/main">
                <a:ext uri="{FF2B5EF4-FFF2-40B4-BE49-F238E27FC236}">
                  <a16:creationId xmlns:a16="http://schemas.microsoft.com/office/drawing/2014/main" id="{99D24DBD-6DA1-4E28-A0FB-6AF18C206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43625" cy="2733675"/>
                    </a:xfrm>
                    <a:prstGeom prst="rect">
                      <a:avLst/>
                    </a:prstGeom>
                  </pic:spPr>
                </pic:pic>
              </a:graphicData>
            </a:graphic>
          </wp:inline>
        </w:drawing>
      </w:r>
    </w:p>
    <w:p w14:paraId="406AE706" w14:textId="77777777" w:rsidR="00F842B3" w:rsidRDefault="007F444F">
      <w:pPr>
        <w:spacing w:before="30" w:after="180"/>
      </w:pPr>
      <w:r>
        <w:rPr>
          <w:color w:val="5A6B7B"/>
          <w:sz w:val="14"/>
          <w:szCs w:val="14"/>
        </w:rPr>
        <w:t xml:space="preserve">Note: Source: </w:t>
      </w:r>
      <w:proofErr w:type="spellStart"/>
      <w:r>
        <w:rPr>
          <w:color w:val="5A6B7B"/>
          <w:sz w:val="14"/>
          <w:szCs w:val="14"/>
        </w:rPr>
        <w:t>PitchBook</w:t>
      </w:r>
      <w:proofErr w:type="spellEnd"/>
      <w:r>
        <w:rPr>
          <w:color w:val="5A6B7B"/>
          <w:sz w:val="14"/>
          <w:szCs w:val="14"/>
        </w:rPr>
        <w:t>; as of 30 Jun 2026.</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0D" w14:textId="77777777">
        <w:tc>
          <w:tcPr>
            <w:tcW w:w="4650" w:type="dxa"/>
            <w:tcMar>
              <w:top w:w="30" w:type="dxa"/>
              <w:left w:w="50" w:type="dxa"/>
              <w:bottom w:w="30" w:type="dxa"/>
              <w:right w:w="50" w:type="dxa"/>
            </w:tcMar>
          </w:tcPr>
          <w:p w14:paraId="406AE707" w14:textId="77777777" w:rsidR="00F842B3" w:rsidRDefault="007F444F">
            <w:pPr>
              <w:keepNext/>
              <w:spacing w:before="60" w:after="30"/>
            </w:pPr>
            <w:r>
              <w:rPr>
                <w:b/>
                <w:bCs/>
                <w:color w:val="16283F"/>
              </w:rPr>
              <w:t>Exhibit 5: Share of 2026 YTD deal value by sector</w:t>
            </w:r>
          </w:p>
          <w:p w14:paraId="406AE708" w14:textId="77777777" w:rsidR="00F842B3" w:rsidRDefault="007F444F">
            <w:r>
              <w:rPr>
                <w:noProof/>
              </w:rPr>
              <w:drawing>
                <wp:inline distT="0" distB="0" distL="0" distR="0" wp14:anchorId="406AE975" wp14:editId="406AE976">
                  <wp:extent cx="2857500" cy="1495425"/>
                  <wp:effectExtent l="0" t="0" r="0" b="0"/>
                  <wp:docPr id="1916526558" name="Picture 1916526558">
                    <a:extLst xmlns:a="http://schemas.openxmlformats.org/drawingml/2006/main">
                      <a:ext uri="{FF2B5EF4-FFF2-40B4-BE49-F238E27FC236}">
                        <a16:creationId xmlns:a16="http://schemas.microsoft.com/office/drawing/2014/main" id="{AD164676-409F-463D-8D57-831D05266A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495425"/>
                          </a:xfrm>
                          <a:prstGeom prst="rect">
                            <a:avLst/>
                          </a:prstGeom>
                        </pic:spPr>
                      </pic:pic>
                    </a:graphicData>
                  </a:graphic>
                </wp:inline>
              </w:drawing>
            </w:r>
          </w:p>
          <w:p w14:paraId="406AE709" w14:textId="77777777" w:rsidR="00F842B3" w:rsidRDefault="007F444F">
            <w:pPr>
              <w:spacing w:before="30" w:after="40"/>
            </w:pPr>
            <w:r>
              <w:rPr>
                <w:color w:val="5A6B7B"/>
                <w:sz w:val="14"/>
                <w:szCs w:val="14"/>
              </w:rPr>
              <w:t xml:space="preserve">Note: Q1+Q2 2026 deal value shares; </w:t>
            </w:r>
            <w:proofErr w:type="spellStart"/>
            <w:r>
              <w:rPr>
                <w:color w:val="5A6B7B"/>
                <w:sz w:val="14"/>
                <w:szCs w:val="14"/>
              </w:rPr>
              <w:t>Junson</w:t>
            </w:r>
            <w:proofErr w:type="spellEnd"/>
            <w:r>
              <w:rPr>
                <w:color w:val="5A6B7B"/>
                <w:sz w:val="14"/>
                <w:szCs w:val="14"/>
              </w:rPr>
              <w:t xml:space="preserve"> calculation. Source: </w:t>
            </w:r>
            <w:proofErr w:type="spellStart"/>
            <w:r>
              <w:rPr>
                <w:color w:val="5A6B7B"/>
                <w:sz w:val="14"/>
                <w:szCs w:val="14"/>
              </w:rPr>
              <w:t>PitchBook</w:t>
            </w:r>
            <w:proofErr w:type="spellEnd"/>
            <w:r>
              <w:rPr>
                <w:color w:val="5A6B7B"/>
                <w:sz w:val="14"/>
                <w:szCs w:val="14"/>
              </w:rPr>
              <w:t>; as of 30 Jun 2026.</w:t>
            </w:r>
          </w:p>
        </w:tc>
        <w:tc>
          <w:tcPr>
            <w:tcW w:w="4650" w:type="dxa"/>
            <w:tcMar>
              <w:top w:w="30" w:type="dxa"/>
              <w:left w:w="50" w:type="dxa"/>
              <w:bottom w:w="30" w:type="dxa"/>
              <w:right w:w="50" w:type="dxa"/>
            </w:tcMar>
          </w:tcPr>
          <w:p w14:paraId="406AE70A" w14:textId="77777777" w:rsidR="00F842B3" w:rsidRDefault="007F444F">
            <w:pPr>
              <w:keepNext/>
              <w:spacing w:before="60" w:after="30"/>
            </w:pPr>
            <w:r>
              <w:rPr>
                <w:b/>
                <w:bCs/>
                <w:color w:val="16283F"/>
              </w:rPr>
              <w:t>Exhibit 6: Secondary buyouts, share of buyout value</w:t>
            </w:r>
          </w:p>
          <w:p w14:paraId="406AE70B" w14:textId="77777777" w:rsidR="00F842B3" w:rsidRDefault="007F444F">
            <w:r>
              <w:rPr>
                <w:noProof/>
              </w:rPr>
              <w:drawing>
                <wp:inline distT="0" distB="0" distL="0" distR="0" wp14:anchorId="406AE977" wp14:editId="406AE978">
                  <wp:extent cx="2857500" cy="2085975"/>
                  <wp:effectExtent l="0" t="0" r="0" b="0"/>
                  <wp:docPr id="893637369" name="Picture 893637369">
                    <a:extLst xmlns:a="http://schemas.openxmlformats.org/drawingml/2006/main">
                      <a:ext uri="{FF2B5EF4-FFF2-40B4-BE49-F238E27FC236}">
                        <a16:creationId xmlns:a16="http://schemas.microsoft.com/office/drawing/2014/main" id="{A06F3C81-C770-467E-ABA5-32B1D5B803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085975"/>
                          </a:xfrm>
                          <a:prstGeom prst="rect">
                            <a:avLst/>
                          </a:prstGeom>
                        </pic:spPr>
                      </pic:pic>
                    </a:graphicData>
                  </a:graphic>
                </wp:inline>
              </w:drawing>
            </w:r>
          </w:p>
          <w:p w14:paraId="406AE70C" w14:textId="77777777" w:rsidR="00F842B3" w:rsidRDefault="007F444F">
            <w:pPr>
              <w:spacing w:before="30" w:after="40"/>
            </w:pPr>
            <w:r>
              <w:rPr>
                <w:color w:val="5A6B7B"/>
                <w:sz w:val="14"/>
                <w:szCs w:val="14"/>
              </w:rPr>
              <w:t xml:space="preserve">Note: Source: </w:t>
            </w:r>
            <w:proofErr w:type="spellStart"/>
            <w:r>
              <w:rPr>
                <w:color w:val="5A6B7B"/>
                <w:sz w:val="14"/>
                <w:szCs w:val="14"/>
              </w:rPr>
              <w:t>PitchBook</w:t>
            </w:r>
            <w:proofErr w:type="spellEnd"/>
            <w:r>
              <w:rPr>
                <w:color w:val="5A6B7B"/>
                <w:sz w:val="14"/>
                <w:szCs w:val="14"/>
              </w:rPr>
              <w:t>; as of 30 Jun 2026.</w:t>
            </w:r>
          </w:p>
        </w:tc>
      </w:tr>
    </w:tbl>
    <w:p w14:paraId="406AE70E" w14:textId="77777777" w:rsidR="00F842B3" w:rsidRDefault="00F842B3">
      <w:pPr>
        <w:spacing w:after="100"/>
      </w:pPr>
    </w:p>
    <w:p w14:paraId="406AE70F" w14:textId="77777777" w:rsidR="00F842B3" w:rsidRDefault="007F444F">
      <w:pPr>
        <w:pStyle w:val="Heading2"/>
        <w:spacing w:before="200" w:after="100"/>
      </w:pPr>
      <w:r>
        <w:t>2.3 LBO volume in M&amp;A context</w:t>
      </w:r>
    </w:p>
    <w:p w14:paraId="406AE710" w14:textId="77777777" w:rsidR="00F842B3" w:rsidRDefault="007F444F">
      <w:pPr>
        <w:spacing w:after="140" w:line="264" w:lineRule="auto"/>
        <w:jc w:val="both"/>
      </w:pPr>
      <w:r>
        <w:lastRenderedPageBreak/>
        <w:t xml:space="preserve">PE is ceding M&amp;A share to strategic acquirers — and the report data pack now quantifies it. Buyout/LBO value of </w:t>
      </w:r>
      <w:r>
        <w:rPr>
          <w:b/>
          <w:bCs/>
        </w:rPr>
        <w:t>US$734.2bn</w:t>
      </w:r>
      <w:r>
        <w:t xml:space="preserve"> YTD represents </w:t>
      </w:r>
      <w:r>
        <w:rPr>
          <w:b/>
          <w:bCs/>
        </w:rPr>
        <w:t>27.1%</w:t>
      </w:r>
      <w:r>
        <w:t xml:space="preserve"> of the </w:t>
      </w:r>
      <w:r>
        <w:rPr>
          <w:b/>
          <w:bCs/>
        </w:rPr>
        <w:t>US$2,710.7bn</w:t>
      </w:r>
      <w:r>
        <w:t xml:space="preserve"> of global M&amp;A in H1 2026, down from </w:t>
      </w:r>
      <w:r>
        <w:rPr>
          <w:b/>
          <w:bCs/>
        </w:rPr>
        <w:t>41.2%</w:t>
      </w:r>
      <w:r>
        <w:t xml:space="preserve"> for full-year 2025 — a </w:t>
      </w:r>
      <w:r>
        <w:rPr>
          <w:b/>
          <w:bCs/>
        </w:rPr>
        <w:t>14.1pp</w:t>
      </w:r>
      <w:r>
        <w:t xml:space="preserve"> collapse to the lowest share since 2016 and the sharpest one-year drop in the series. The overall market did not shrink with it: global M&amp;A totalled </w:t>
      </w:r>
      <w:r>
        <w:rPr>
          <w:b/>
          <w:bCs/>
        </w:rPr>
        <w:t>US$1,306.2bn</w:t>
      </w:r>
      <w:r>
        <w:t xml:space="preserve"> in Q2 (up </w:t>
      </w:r>
      <w:r>
        <w:rPr>
          <w:b/>
          <w:bCs/>
        </w:rPr>
        <w:t>35.3%</w:t>
      </w:r>
      <w:r>
        <w:t xml:space="preserve"> YoY, down </w:t>
      </w:r>
      <w:r>
        <w:rPr>
          <w:b/>
          <w:bCs/>
        </w:rPr>
        <w:t>18.4%</w:t>
      </w:r>
      <w:r>
        <w:t xml:space="preserve"> from Q1's record </w:t>
      </w:r>
      <w:r>
        <w:rPr>
          <w:b/>
          <w:bCs/>
        </w:rPr>
        <w:t>US$1,601.2bn</w:t>
      </w:r>
      <w:r>
        <w:t xml:space="preserve">), and North America printed </w:t>
      </w:r>
      <w:r>
        <w:rPr>
          <w:b/>
          <w:bCs/>
        </w:rPr>
        <w:t>US$787.0bn</w:t>
      </w:r>
      <w:r>
        <w:t xml:space="preserve"> across </w:t>
      </w:r>
      <w:r>
        <w:rPr>
          <w:b/>
          <w:bCs/>
        </w:rPr>
        <w:t>4,476</w:t>
      </w:r>
      <w:r>
        <w:t xml:space="preserve"> deals (</w:t>
      </w:r>
      <w:r>
        <w:rPr>
          <w:b/>
          <w:bCs/>
        </w:rPr>
        <w:t>+37.4%</w:t>
      </w:r>
      <w:r>
        <w:t xml:space="preserve"> YoY, </w:t>
      </w:r>
      <w:r>
        <w:rPr>
          <w:b/>
          <w:bCs/>
        </w:rPr>
        <w:t>-24.3%</w:t>
      </w:r>
      <w:r>
        <w:t xml:space="preserve"> QoQ). Strategic buyers filled the space sponsors vacated — consistent with EY's read of US US$100m+ deal value up </w:t>
      </w:r>
      <w:r>
        <w:rPr>
          <w:b/>
          <w:bCs/>
        </w:rPr>
        <w:t>88%</w:t>
      </w:r>
      <w:r>
        <w:t xml:space="preserve"> YoY with megadeal value up </w:t>
      </w:r>
      <w:r>
        <w:rPr>
          <w:b/>
          <w:bCs/>
        </w:rPr>
        <w:t>148%</w:t>
      </w:r>
      <w:r>
        <w:t xml:space="preserve">, and with sponsored M&amp;A loan volume shrinking </w:t>
      </w:r>
      <w:r>
        <w:rPr>
          <w:b/>
          <w:bCs/>
        </w:rPr>
        <w:t>54%</w:t>
      </w:r>
      <w:r>
        <w:t xml:space="preserve"> QoQ while corporate borrowers more than doubled theirs.</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17" w14:textId="77777777">
        <w:tc>
          <w:tcPr>
            <w:tcW w:w="4650" w:type="dxa"/>
            <w:tcMar>
              <w:top w:w="30" w:type="dxa"/>
              <w:left w:w="50" w:type="dxa"/>
              <w:bottom w:w="30" w:type="dxa"/>
              <w:right w:w="50" w:type="dxa"/>
            </w:tcMar>
          </w:tcPr>
          <w:p w14:paraId="406AE711" w14:textId="77777777" w:rsidR="00F842B3" w:rsidRDefault="007F444F">
            <w:pPr>
              <w:keepNext/>
              <w:spacing w:before="60" w:after="30"/>
            </w:pPr>
            <w:r>
              <w:rPr>
                <w:b/>
                <w:bCs/>
                <w:color w:val="16283F"/>
              </w:rPr>
              <w:t>Exhibit 7: North America M&amp;A deal value and count by quarter</w:t>
            </w:r>
          </w:p>
          <w:p w14:paraId="406AE712" w14:textId="77777777" w:rsidR="00F842B3" w:rsidRDefault="007F444F">
            <w:r>
              <w:rPr>
                <w:noProof/>
              </w:rPr>
              <w:drawing>
                <wp:inline distT="0" distB="0" distL="0" distR="0" wp14:anchorId="406AE979" wp14:editId="406AE97A">
                  <wp:extent cx="2857500" cy="1781175"/>
                  <wp:effectExtent l="0" t="0" r="0" b="0"/>
                  <wp:docPr id="1400099918" name="Picture 1400099918">
                    <a:extLst xmlns:a="http://schemas.openxmlformats.org/drawingml/2006/main">
                      <a:ext uri="{FF2B5EF4-FFF2-40B4-BE49-F238E27FC236}">
                        <a16:creationId xmlns:a16="http://schemas.microsoft.com/office/drawing/2014/main" id="{E75428C9-702C-43C4-888A-8E82616094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781175"/>
                          </a:xfrm>
                          <a:prstGeom prst="rect">
                            <a:avLst/>
                          </a:prstGeom>
                        </pic:spPr>
                      </pic:pic>
                    </a:graphicData>
                  </a:graphic>
                </wp:inline>
              </w:drawing>
            </w:r>
          </w:p>
          <w:p w14:paraId="406AE713" w14:textId="77777777" w:rsidR="00F842B3" w:rsidRDefault="007F444F">
            <w:pPr>
              <w:spacing w:before="30" w:after="40"/>
            </w:pPr>
            <w:r>
              <w:rPr>
                <w:color w:val="5A6B7B"/>
                <w:sz w:val="14"/>
                <w:szCs w:val="14"/>
              </w:rPr>
              <w:t xml:space="preserve">Note: Deal value plus estimated values; count on right scale. Source: </w:t>
            </w:r>
            <w:proofErr w:type="spellStart"/>
            <w:r>
              <w:rPr>
                <w:color w:val="5A6B7B"/>
                <w:sz w:val="14"/>
                <w:szCs w:val="14"/>
              </w:rPr>
              <w:t>PitchBook</w:t>
            </w:r>
            <w:proofErr w:type="spellEnd"/>
            <w:r>
              <w:rPr>
                <w:color w:val="5A6B7B"/>
                <w:sz w:val="14"/>
                <w:szCs w:val="14"/>
              </w:rPr>
              <w:t>; as of 30 Jun 2026.</w:t>
            </w:r>
          </w:p>
        </w:tc>
        <w:tc>
          <w:tcPr>
            <w:tcW w:w="4650" w:type="dxa"/>
            <w:tcMar>
              <w:top w:w="30" w:type="dxa"/>
              <w:left w:w="50" w:type="dxa"/>
              <w:bottom w:w="30" w:type="dxa"/>
              <w:right w:w="50" w:type="dxa"/>
            </w:tcMar>
          </w:tcPr>
          <w:p w14:paraId="406AE714" w14:textId="77777777" w:rsidR="00F842B3" w:rsidRDefault="007F444F">
            <w:pPr>
              <w:keepNext/>
              <w:spacing w:before="60" w:after="30"/>
            </w:pPr>
            <w:r>
              <w:rPr>
                <w:b/>
                <w:bCs/>
                <w:color w:val="16283F"/>
              </w:rPr>
              <w:t>Exhibit 8: Buyout/LBO share of global M&amp;A value</w:t>
            </w:r>
          </w:p>
          <w:p w14:paraId="406AE715" w14:textId="77777777" w:rsidR="00F842B3" w:rsidRDefault="007F444F">
            <w:r>
              <w:rPr>
                <w:noProof/>
              </w:rPr>
              <w:drawing>
                <wp:inline distT="0" distB="0" distL="0" distR="0" wp14:anchorId="406AE97B" wp14:editId="406AE97C">
                  <wp:extent cx="2857500" cy="2038350"/>
                  <wp:effectExtent l="0" t="0" r="0" b="0"/>
                  <wp:docPr id="2094270919" name="Picture 2094270919">
                    <a:extLst xmlns:a="http://schemas.openxmlformats.org/drawingml/2006/main">
                      <a:ext uri="{FF2B5EF4-FFF2-40B4-BE49-F238E27FC236}">
                        <a16:creationId xmlns:a16="http://schemas.microsoft.com/office/drawing/2014/main" id="{F27F14AA-E76C-4C7C-A4CE-C28A5812D7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038350"/>
                          </a:xfrm>
                          <a:prstGeom prst="rect">
                            <a:avLst/>
                          </a:prstGeom>
                        </pic:spPr>
                      </pic:pic>
                    </a:graphicData>
                  </a:graphic>
                </wp:inline>
              </w:drawing>
            </w:r>
          </w:p>
          <w:p w14:paraId="406AE716" w14:textId="77777777" w:rsidR="00F842B3" w:rsidRDefault="007F444F">
            <w:pPr>
              <w:spacing w:before="30" w:after="40"/>
            </w:pPr>
            <w:r>
              <w:rPr>
                <w:color w:val="5A6B7B"/>
                <w:sz w:val="14"/>
                <w:szCs w:val="14"/>
              </w:rPr>
              <w:t xml:space="preserve">Note: Buyout/LBO value ÷ (Buyout/LBO + corporate M&amp;A value); 2026* = H1. </w:t>
            </w:r>
            <w:proofErr w:type="spellStart"/>
            <w:r>
              <w:rPr>
                <w:color w:val="5A6B7B"/>
                <w:sz w:val="14"/>
                <w:szCs w:val="14"/>
              </w:rPr>
              <w:t>Junson</w:t>
            </w:r>
            <w:proofErr w:type="spellEnd"/>
            <w:r>
              <w:rPr>
                <w:color w:val="5A6B7B"/>
                <w:sz w:val="14"/>
                <w:szCs w:val="14"/>
              </w:rPr>
              <w:t xml:space="preserve"> calculation. Source: </w:t>
            </w:r>
            <w:proofErr w:type="spellStart"/>
            <w:r>
              <w:rPr>
                <w:color w:val="5A6B7B"/>
                <w:sz w:val="14"/>
                <w:szCs w:val="14"/>
              </w:rPr>
              <w:t>PitchBook</w:t>
            </w:r>
            <w:proofErr w:type="spellEnd"/>
            <w:r>
              <w:rPr>
                <w:color w:val="5A6B7B"/>
                <w:sz w:val="14"/>
                <w:szCs w:val="14"/>
              </w:rPr>
              <w:t>; as of 30 Jun 2026.</w:t>
            </w:r>
          </w:p>
        </w:tc>
      </w:tr>
    </w:tbl>
    <w:p w14:paraId="406AE718" w14:textId="77777777" w:rsidR="00F842B3" w:rsidRDefault="00F842B3">
      <w:pPr>
        <w:spacing w:after="100"/>
      </w:pPr>
    </w:p>
    <w:p w14:paraId="406AE719" w14:textId="77777777" w:rsidR="00F842B3" w:rsidRDefault="007F444F">
      <w:pPr>
        <w:pStyle w:val="Heading2"/>
        <w:spacing w:before="200" w:after="100"/>
      </w:pPr>
      <w:r>
        <w:t>2.4 Middle market</w:t>
      </w:r>
    </w:p>
    <w:p w14:paraId="406AE71A" w14:textId="77777777" w:rsidR="00F842B3" w:rsidRDefault="007F444F">
      <w:pPr>
        <w:spacing w:after="140" w:line="264" w:lineRule="auto"/>
        <w:jc w:val="both"/>
      </w:pPr>
      <w:r>
        <w:t xml:space="preserve">The middle market (US$25m–1bn EV) held up better than the headline market — its share of all US PE buyout value rose toward </w:t>
      </w:r>
      <w:r>
        <w:rPr>
          <w:b/>
          <w:bCs/>
        </w:rPr>
        <w:t>~40%</w:t>
      </w:r>
      <w:r>
        <w:t xml:space="preserve"> as megadeals retreated (data lag one quarter, as of 31 Mar 2026). MM buyout multiples sit </w:t>
      </w:r>
      <w:r>
        <w:rPr>
          <w:b/>
          <w:bCs/>
        </w:rPr>
        <w:t>1–2 turns</w:t>
      </w:r>
      <w:r>
        <w:t xml:space="preserve"> below their 2024 peak, and MM rolling one-year IRR of </w:t>
      </w:r>
      <w:r>
        <w:rPr>
          <w:b/>
          <w:bCs/>
        </w:rPr>
        <w:t>8.7%</w:t>
      </w:r>
      <w:r>
        <w:t xml:space="preserve"> leads both </w:t>
      </w:r>
      <w:proofErr w:type="spellStart"/>
      <w:r>
        <w:t>megafunds</w:t>
      </w:r>
      <w:proofErr w:type="spellEnd"/>
      <w:r>
        <w:t xml:space="preserve"> (</w:t>
      </w:r>
      <w:r>
        <w:rPr>
          <w:b/>
          <w:bCs/>
        </w:rPr>
        <w:t>5.7%</w:t>
      </w:r>
      <w:r>
        <w:t>) and US PE overall (</w:t>
      </w:r>
      <w:r>
        <w:rPr>
          <w:b/>
          <w:bCs/>
        </w:rPr>
        <w:t>7.2%</w:t>
      </w:r>
      <w:r>
        <w:t>). For fund selection this supports a middle-market tilt: cheaper entry, less exit-route dependence on IPOs, better recent relative performance — offset by thinner financing depth if credit tightens further.</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21" w14:textId="77777777">
        <w:tc>
          <w:tcPr>
            <w:tcW w:w="4650" w:type="dxa"/>
            <w:tcMar>
              <w:top w:w="30" w:type="dxa"/>
              <w:left w:w="50" w:type="dxa"/>
              <w:bottom w:w="30" w:type="dxa"/>
              <w:right w:w="50" w:type="dxa"/>
            </w:tcMar>
          </w:tcPr>
          <w:p w14:paraId="406AE71B" w14:textId="77777777" w:rsidR="00F842B3" w:rsidRDefault="007F444F">
            <w:pPr>
              <w:keepNext/>
              <w:spacing w:before="60" w:after="30"/>
            </w:pPr>
            <w:r>
              <w:rPr>
                <w:b/>
                <w:bCs/>
                <w:color w:val="16283F"/>
              </w:rPr>
              <w:t>Exhibit 9: US PE middle-market deal activity</w:t>
            </w:r>
          </w:p>
          <w:p w14:paraId="406AE71C" w14:textId="77777777" w:rsidR="00F842B3" w:rsidRDefault="007F444F">
            <w:r>
              <w:rPr>
                <w:noProof/>
              </w:rPr>
              <w:drawing>
                <wp:inline distT="0" distB="0" distL="0" distR="0" wp14:anchorId="406AE97D" wp14:editId="406AE97E">
                  <wp:extent cx="2857500" cy="1838325"/>
                  <wp:effectExtent l="0" t="0" r="0" b="0"/>
                  <wp:docPr id="1277334303" name="Picture 1277334303">
                    <a:extLst xmlns:a="http://schemas.openxmlformats.org/drawingml/2006/main">
                      <a:ext uri="{FF2B5EF4-FFF2-40B4-BE49-F238E27FC236}">
                        <a16:creationId xmlns:a16="http://schemas.microsoft.com/office/drawing/2014/main" id="{B98F76EE-1E24-4F5F-A3C9-770D920245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838325"/>
                          </a:xfrm>
                          <a:prstGeom prst="rect">
                            <a:avLst/>
                          </a:prstGeom>
                        </pic:spPr>
                      </pic:pic>
                    </a:graphicData>
                  </a:graphic>
                </wp:inline>
              </w:drawing>
            </w:r>
          </w:p>
          <w:p w14:paraId="406AE71D" w14:textId="77777777" w:rsidR="00F842B3" w:rsidRDefault="007F444F">
            <w:pPr>
              <w:spacing w:before="30" w:after="40"/>
            </w:pPr>
            <w:r>
              <w:rPr>
                <w:color w:val="5A6B7B"/>
                <w:sz w:val="14"/>
                <w:szCs w:val="14"/>
              </w:rPr>
              <w:t xml:space="preserve">Note: Total incl. estimated; 2026* = Q1 only; count on right scale. Source: </w:t>
            </w:r>
            <w:proofErr w:type="spellStart"/>
            <w:r>
              <w:rPr>
                <w:color w:val="5A6B7B"/>
                <w:sz w:val="14"/>
                <w:szCs w:val="14"/>
              </w:rPr>
              <w:t>PitchBook</w:t>
            </w:r>
            <w:proofErr w:type="spellEnd"/>
            <w:r>
              <w:rPr>
                <w:color w:val="5A6B7B"/>
                <w:sz w:val="14"/>
                <w:szCs w:val="14"/>
              </w:rPr>
              <w:t>; as of 31 Mar 2026.</w:t>
            </w:r>
          </w:p>
        </w:tc>
        <w:tc>
          <w:tcPr>
            <w:tcW w:w="4650" w:type="dxa"/>
            <w:tcMar>
              <w:top w:w="30" w:type="dxa"/>
              <w:left w:w="50" w:type="dxa"/>
              <w:bottom w:w="30" w:type="dxa"/>
              <w:right w:w="50" w:type="dxa"/>
            </w:tcMar>
          </w:tcPr>
          <w:p w14:paraId="406AE71E" w14:textId="77777777" w:rsidR="00F842B3" w:rsidRDefault="007F444F">
            <w:pPr>
              <w:keepNext/>
              <w:spacing w:before="60" w:after="30"/>
            </w:pPr>
            <w:r>
              <w:rPr>
                <w:b/>
                <w:bCs/>
                <w:color w:val="16283F"/>
              </w:rPr>
              <w:t>Exhibit 10: MM share of all US PE buyout value</w:t>
            </w:r>
          </w:p>
          <w:p w14:paraId="406AE71F" w14:textId="77777777" w:rsidR="00F842B3" w:rsidRDefault="007F444F">
            <w:r>
              <w:rPr>
                <w:noProof/>
              </w:rPr>
              <w:drawing>
                <wp:inline distT="0" distB="0" distL="0" distR="0" wp14:anchorId="406AE97F" wp14:editId="406AE980">
                  <wp:extent cx="2857500" cy="2114550"/>
                  <wp:effectExtent l="0" t="0" r="0" b="0"/>
                  <wp:docPr id="506142497" name="Picture 506142497">
                    <a:extLst xmlns:a="http://schemas.openxmlformats.org/drawingml/2006/main">
                      <a:ext uri="{FF2B5EF4-FFF2-40B4-BE49-F238E27FC236}">
                        <a16:creationId xmlns:a16="http://schemas.microsoft.com/office/drawing/2014/main" id="{0788DF57-5CF5-4BE1-9F2F-7B4A61E020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114550"/>
                          </a:xfrm>
                          <a:prstGeom prst="rect">
                            <a:avLst/>
                          </a:prstGeom>
                        </pic:spPr>
                      </pic:pic>
                    </a:graphicData>
                  </a:graphic>
                </wp:inline>
              </w:drawing>
            </w:r>
          </w:p>
          <w:p w14:paraId="406AE720" w14:textId="77777777" w:rsidR="00F842B3" w:rsidRDefault="007F444F">
            <w:pPr>
              <w:spacing w:before="30" w:after="40"/>
            </w:pPr>
            <w:r>
              <w:rPr>
                <w:color w:val="5A6B7B"/>
                <w:sz w:val="14"/>
                <w:szCs w:val="14"/>
              </w:rPr>
              <w:t xml:space="preserve">Note: Source: </w:t>
            </w:r>
            <w:proofErr w:type="spellStart"/>
            <w:r>
              <w:rPr>
                <w:color w:val="5A6B7B"/>
                <w:sz w:val="14"/>
                <w:szCs w:val="14"/>
              </w:rPr>
              <w:t>PitchBook</w:t>
            </w:r>
            <w:proofErr w:type="spellEnd"/>
            <w:r>
              <w:rPr>
                <w:color w:val="5A6B7B"/>
                <w:sz w:val="14"/>
                <w:szCs w:val="14"/>
              </w:rPr>
              <w:t>; as of 31 Mar 2026.</w:t>
            </w:r>
          </w:p>
        </w:tc>
      </w:tr>
    </w:tbl>
    <w:p w14:paraId="406AE722" w14:textId="77777777" w:rsidR="00F842B3" w:rsidRDefault="00F842B3">
      <w:pPr>
        <w:spacing w:after="100"/>
      </w:pPr>
    </w:p>
    <w:p w14:paraId="406AE723" w14:textId="77777777" w:rsidR="00F842B3" w:rsidRDefault="007F444F">
      <w:pPr>
        <w:pStyle w:val="Heading2"/>
        <w:spacing w:before="200" w:after="100"/>
      </w:pPr>
      <w:r>
        <w:t>2.5 How the volume measures nest — and where private credit connects</w:t>
      </w:r>
    </w:p>
    <w:p w14:paraId="406AE724" w14:textId="77777777" w:rsidR="00F842B3" w:rsidRDefault="007F444F">
      <w:pPr>
        <w:spacing w:after="140" w:line="264" w:lineRule="auto"/>
        <w:jc w:val="both"/>
      </w:pPr>
      <w:r>
        <w:t xml:space="preserve">The four volume measures in this report are nested cuts of one market, from broadest to narrowest: </w:t>
      </w:r>
      <w:r>
        <w:rPr>
          <w:b/>
          <w:bCs/>
        </w:rPr>
        <w:t>global M&amp;A</w:t>
      </w:r>
      <w:r>
        <w:t xml:space="preserve"> (US$2,710.7bn in H1 2026) contains both corporate-led and sponsor-led deals; </w:t>
      </w:r>
      <w:r>
        <w:rPr>
          <w:b/>
          <w:bCs/>
        </w:rPr>
        <w:t>North America M&amp;A</w:t>
      </w:r>
      <w:r>
        <w:t xml:space="preserve"> (US$1,826.5bn) is its geographic slice; </w:t>
      </w:r>
      <w:r>
        <w:rPr>
          <w:b/>
          <w:bCs/>
        </w:rPr>
        <w:t>US PE deal value</w:t>
      </w:r>
      <w:r>
        <w:t xml:space="preserve"> (US$461.0bn) is the sponsor-only slice of the US market across all deal types (buyout, add-on, growth); </w:t>
      </w:r>
      <w:r>
        <w:rPr>
          <w:b/>
          <w:bCs/>
        </w:rPr>
        <w:t>US PE buyout/LBO</w:t>
      </w:r>
      <w:r>
        <w:t xml:space="preserve"> (US$347.3bn) strips out growth deals; and the </w:t>
      </w:r>
      <w:r>
        <w:rPr>
          <w:b/>
          <w:bCs/>
        </w:rPr>
        <w:t>middle market</w:t>
      </w:r>
      <w:r>
        <w:t xml:space="preserve"> (US$25m–1bn EV, ~US$139bn est.) is its size slice, roughly 40% of buyout value. The 'LBO volume in M&amp;A' ratio in §2.3 (27.1%) is the top two layers divided: global buyout ÷ global M&amp;A. Three definitional wrinkles when quoting across layers: NA includes Canada while US PE does not; US PE deal value includes growth/expansion minority deals that sit outside the M&amp;A universe, so it is not a strict subset of the Buyout/LBO line; and every layer includes </w:t>
      </w:r>
      <w:proofErr w:type="spellStart"/>
      <w:r>
        <w:t>PitchBook's</w:t>
      </w:r>
      <w:proofErr w:type="spellEnd"/>
      <w:r>
        <w:t xml:space="preserve"> estimated values for undisclosed deals.</w:t>
      </w:r>
    </w:p>
    <w:p w14:paraId="406AE725" w14:textId="77777777" w:rsidR="00F842B3" w:rsidRDefault="007F444F">
      <w:pPr>
        <w:keepNext/>
        <w:spacing w:before="60" w:after="30"/>
      </w:pPr>
      <w:r>
        <w:rPr>
          <w:b/>
          <w:bCs/>
          <w:color w:val="16283F"/>
        </w:rPr>
        <w:lastRenderedPageBreak/>
        <w:t>Exhibit 11: How the volume measures nest (H1 2026)</w:t>
      </w:r>
    </w:p>
    <w:p w14:paraId="406AE726" w14:textId="77777777" w:rsidR="00F842B3" w:rsidRDefault="007F444F">
      <w:r>
        <w:rPr>
          <w:noProof/>
        </w:rPr>
        <w:drawing>
          <wp:inline distT="0" distB="0" distL="0" distR="0" wp14:anchorId="406AE981" wp14:editId="406AE982">
            <wp:extent cx="6143625" cy="2305050"/>
            <wp:effectExtent l="0" t="0" r="0" b="0"/>
            <wp:docPr id="49472207" name="Picture 49472207">
              <a:extLst xmlns:a="http://schemas.openxmlformats.org/drawingml/2006/main">
                <a:ext uri="{FF2B5EF4-FFF2-40B4-BE49-F238E27FC236}">
                  <a16:creationId xmlns:a16="http://schemas.microsoft.com/office/drawing/2014/main" id="{ED4FBD35-ADFA-457B-8DAB-EF01D86EA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43625" cy="2305050"/>
                    </a:xfrm>
                    <a:prstGeom prst="rect">
                      <a:avLst/>
                    </a:prstGeom>
                  </pic:spPr>
                </pic:pic>
              </a:graphicData>
            </a:graphic>
          </wp:inline>
        </w:drawing>
      </w:r>
    </w:p>
    <w:p w14:paraId="406AE727" w14:textId="77777777" w:rsidR="00F842B3" w:rsidRDefault="007F444F">
      <w:pPr>
        <w:spacing w:before="30" w:after="180"/>
      </w:pPr>
      <w:r>
        <w:rPr>
          <w:color w:val="5A6B7B"/>
          <w:sz w:val="14"/>
          <w:szCs w:val="14"/>
        </w:rPr>
        <w:t xml:space="preserve">Note: All layers from </w:t>
      </w:r>
      <w:proofErr w:type="spellStart"/>
      <w:r>
        <w:rPr>
          <w:color w:val="5A6B7B"/>
          <w:sz w:val="14"/>
          <w:szCs w:val="14"/>
        </w:rPr>
        <w:t>PitchBook</w:t>
      </w:r>
      <w:proofErr w:type="spellEnd"/>
      <w:r>
        <w:rPr>
          <w:color w:val="5A6B7B"/>
          <w:sz w:val="14"/>
          <w:szCs w:val="14"/>
        </w:rPr>
        <w:t xml:space="preserve">; middle market estimated as ~40% of buyout value (share as of 31 Mar 2026) — </w:t>
      </w:r>
      <w:proofErr w:type="spellStart"/>
      <w:r>
        <w:rPr>
          <w:color w:val="5A6B7B"/>
          <w:sz w:val="14"/>
          <w:szCs w:val="14"/>
        </w:rPr>
        <w:t>Junson</w:t>
      </w:r>
      <w:proofErr w:type="spellEnd"/>
      <w:r>
        <w:rPr>
          <w:color w:val="5A6B7B"/>
          <w:sz w:val="14"/>
          <w:szCs w:val="14"/>
        </w:rPr>
        <w:t xml:space="preserve"> calculations. Layer shares are approximate: geographies and deal-type definitions do not align perfectly between layers (see text).</w:t>
      </w:r>
    </w:p>
    <w:p w14:paraId="406AE728" w14:textId="77777777" w:rsidR="00F842B3" w:rsidRDefault="007F444F">
      <w:pPr>
        <w:spacing w:after="140" w:line="264" w:lineRule="auto"/>
        <w:jc w:val="both"/>
      </w:pPr>
      <w:r>
        <w:t xml:space="preserve">Private credit connects to this hierarchy on the financing side, at the third and fourth layers. Every buyout carries a debt package sourced from either the broadly syndicated loan market or private credit — and private markets financed </w:t>
      </w:r>
      <w:r>
        <w:rPr>
          <w:b/>
          <w:bCs/>
        </w:rPr>
        <w:t>82%</w:t>
      </w:r>
      <w:r>
        <w:t xml:space="preserve"> of LBOs by count as of 1Q26 — so buyout/LBO volume is the demand engine for direct-lending origination: this quarter's </w:t>
      </w:r>
      <w:r>
        <w:rPr>
          <w:b/>
          <w:bCs/>
        </w:rPr>
        <w:t>-37.5%</w:t>
      </w:r>
      <w:r>
        <w:t xml:space="preserve"> QoQ fall in PE deal value is the same event as the </w:t>
      </w:r>
      <w:r>
        <w:rPr>
          <w:b/>
          <w:bCs/>
        </w:rPr>
        <w:t>-24%</w:t>
      </w:r>
      <w:r>
        <w:t xml:space="preserve"> y/y decline in direct-lending origination that the Private Credit report tracks. The middle market is private credit's home turf — deals in this size band rarely access the BSL market, and the resulting loans are the collateral behind middle-market CLOs. The top two layers (global and NA M&amp;A) sit largely outside private credit's reach: corporate-led M&amp;A is financed with investment-grade debt and balance-sheet cash. The mapping below cross-references the companion report.</w:t>
      </w:r>
    </w:p>
    <w:p w14:paraId="406AE729" w14:textId="7B606146" w:rsidR="00F842B3" w:rsidRDefault="007F444F">
      <w:pPr>
        <w:keepNext/>
        <w:spacing w:before="60" w:after="30"/>
      </w:pPr>
      <w:r>
        <w:rPr>
          <w:b/>
          <w:bCs/>
          <w:color w:val="16283F"/>
        </w:rPr>
        <w:t>Exhibit 12: Where private credit connects (2026Q3)</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3300"/>
        <w:gridCol w:w="3900"/>
      </w:tblGrid>
      <w:tr w:rsidR="00F842B3" w14:paraId="406AE72D" w14:textId="77777777">
        <w:trPr>
          <w:tblHeader/>
        </w:trPr>
        <w:tc>
          <w:tcPr>
            <w:tcW w:w="2250" w:type="dxa"/>
            <w:shd w:val="clear" w:color="auto" w:fill="1F3B5B"/>
            <w:tcMar>
              <w:top w:w="40" w:type="dxa"/>
              <w:left w:w="70" w:type="dxa"/>
              <w:bottom w:w="40" w:type="dxa"/>
              <w:right w:w="70" w:type="dxa"/>
            </w:tcMar>
          </w:tcPr>
          <w:p w14:paraId="406AE72A" w14:textId="77777777" w:rsidR="00F842B3" w:rsidRDefault="007F444F">
            <w:pPr>
              <w:spacing w:line="230" w:lineRule="auto"/>
            </w:pPr>
            <w:r>
              <w:rPr>
                <w:b/>
                <w:bCs/>
                <w:color w:val="FFFFFF"/>
                <w:sz w:val="16"/>
                <w:szCs w:val="16"/>
              </w:rPr>
              <w:t>This report</w:t>
            </w:r>
          </w:p>
        </w:tc>
        <w:tc>
          <w:tcPr>
            <w:tcW w:w="3300" w:type="dxa"/>
            <w:shd w:val="clear" w:color="auto" w:fill="1F3B5B"/>
            <w:tcMar>
              <w:top w:w="40" w:type="dxa"/>
              <w:left w:w="70" w:type="dxa"/>
              <w:bottom w:w="40" w:type="dxa"/>
              <w:right w:w="70" w:type="dxa"/>
            </w:tcMar>
          </w:tcPr>
          <w:p w14:paraId="406AE72B" w14:textId="77777777" w:rsidR="00F842B3" w:rsidRDefault="007F444F">
            <w:pPr>
              <w:spacing w:line="230" w:lineRule="auto"/>
            </w:pPr>
            <w:r>
              <w:rPr>
                <w:b/>
                <w:bCs/>
                <w:color w:val="FFFFFF"/>
                <w:sz w:val="16"/>
                <w:szCs w:val="16"/>
              </w:rPr>
              <w:t>Financing-side linkage</w:t>
            </w:r>
          </w:p>
        </w:tc>
        <w:tc>
          <w:tcPr>
            <w:tcW w:w="3900" w:type="dxa"/>
            <w:shd w:val="clear" w:color="auto" w:fill="1F3B5B"/>
            <w:tcMar>
              <w:top w:w="40" w:type="dxa"/>
              <w:left w:w="70" w:type="dxa"/>
              <w:bottom w:w="40" w:type="dxa"/>
              <w:right w:w="70" w:type="dxa"/>
            </w:tcMar>
          </w:tcPr>
          <w:p w14:paraId="406AE72C" w14:textId="77777777" w:rsidR="00F842B3" w:rsidRDefault="007F444F">
            <w:pPr>
              <w:spacing w:line="230" w:lineRule="auto"/>
            </w:pPr>
            <w:r>
              <w:rPr>
                <w:b/>
                <w:bCs/>
                <w:color w:val="FFFFFF"/>
                <w:sz w:val="16"/>
                <w:szCs w:val="16"/>
              </w:rPr>
              <w:t>Private Credit Quarterly reference</w:t>
            </w:r>
          </w:p>
        </w:tc>
      </w:tr>
      <w:tr w:rsidR="00F842B3" w14:paraId="406AE731" w14:textId="77777777">
        <w:tc>
          <w:tcPr>
            <w:tcW w:w="2250" w:type="dxa"/>
            <w:shd w:val="clear" w:color="auto" w:fill="FFFFFF"/>
            <w:tcMar>
              <w:top w:w="40" w:type="dxa"/>
              <w:left w:w="70" w:type="dxa"/>
              <w:bottom w:w="40" w:type="dxa"/>
              <w:right w:w="70" w:type="dxa"/>
            </w:tcMar>
          </w:tcPr>
          <w:p w14:paraId="406AE72E" w14:textId="77777777" w:rsidR="00F842B3" w:rsidRDefault="007F444F">
            <w:pPr>
              <w:spacing w:line="230" w:lineRule="auto"/>
            </w:pPr>
            <w:r>
              <w:rPr>
                <w:sz w:val="16"/>
                <w:szCs w:val="16"/>
              </w:rPr>
              <w:t>Buyout/LBO volume (§2.1, §2.3)</w:t>
            </w:r>
          </w:p>
        </w:tc>
        <w:tc>
          <w:tcPr>
            <w:tcW w:w="3300" w:type="dxa"/>
            <w:shd w:val="clear" w:color="auto" w:fill="FFFFFF"/>
            <w:tcMar>
              <w:top w:w="40" w:type="dxa"/>
              <w:left w:w="70" w:type="dxa"/>
              <w:bottom w:w="40" w:type="dxa"/>
              <w:right w:w="70" w:type="dxa"/>
            </w:tcMar>
          </w:tcPr>
          <w:p w14:paraId="406AE72F" w14:textId="77777777" w:rsidR="00F842B3" w:rsidRDefault="007F444F">
            <w:pPr>
              <w:spacing w:line="230" w:lineRule="auto"/>
            </w:pPr>
            <w:r>
              <w:rPr>
                <w:sz w:val="16"/>
                <w:szCs w:val="16"/>
              </w:rPr>
              <w:t>Demand engine for direct-lending origination; each LBO's debt is sourced from BSL or private credit</w:t>
            </w:r>
          </w:p>
        </w:tc>
        <w:tc>
          <w:tcPr>
            <w:tcW w:w="3900" w:type="dxa"/>
            <w:shd w:val="clear" w:color="auto" w:fill="FFFFFF"/>
            <w:tcMar>
              <w:top w:w="40" w:type="dxa"/>
              <w:left w:w="70" w:type="dxa"/>
              <w:bottom w:w="40" w:type="dxa"/>
              <w:right w:w="70" w:type="dxa"/>
            </w:tcMar>
          </w:tcPr>
          <w:p w14:paraId="406AE730" w14:textId="77777777" w:rsidR="00F842B3" w:rsidRDefault="007F444F">
            <w:pPr>
              <w:spacing w:line="230" w:lineRule="auto"/>
            </w:pPr>
            <w:r>
              <w:rPr>
                <w:sz w:val="16"/>
                <w:szCs w:val="16"/>
              </w:rPr>
              <w:t>§2.3 Demand side: 82% of LBOs financed in private markets (1Q26, by count); KBRA origination ~US$87bn Jan–May 2026, -24% y/y</w:t>
            </w:r>
          </w:p>
        </w:tc>
      </w:tr>
      <w:tr w:rsidR="00F842B3" w14:paraId="406AE735" w14:textId="77777777">
        <w:tc>
          <w:tcPr>
            <w:tcW w:w="2250" w:type="dxa"/>
            <w:shd w:val="clear" w:color="auto" w:fill="F2F5FB"/>
            <w:tcMar>
              <w:top w:w="40" w:type="dxa"/>
              <w:left w:w="70" w:type="dxa"/>
              <w:bottom w:w="40" w:type="dxa"/>
              <w:right w:w="70" w:type="dxa"/>
            </w:tcMar>
          </w:tcPr>
          <w:p w14:paraId="406AE732" w14:textId="77777777" w:rsidR="00F842B3" w:rsidRDefault="007F444F">
            <w:pPr>
              <w:spacing w:line="230" w:lineRule="auto"/>
            </w:pPr>
            <w:r>
              <w:rPr>
                <w:sz w:val="16"/>
                <w:szCs w:val="16"/>
              </w:rPr>
              <w:t>Middle market deal value (§2.4)</w:t>
            </w:r>
          </w:p>
        </w:tc>
        <w:tc>
          <w:tcPr>
            <w:tcW w:w="3300" w:type="dxa"/>
            <w:shd w:val="clear" w:color="auto" w:fill="F2F5FB"/>
            <w:tcMar>
              <w:top w:w="40" w:type="dxa"/>
              <w:left w:w="70" w:type="dxa"/>
              <w:bottom w:w="40" w:type="dxa"/>
              <w:right w:w="70" w:type="dxa"/>
            </w:tcMar>
          </w:tcPr>
          <w:p w14:paraId="406AE733" w14:textId="77777777" w:rsidR="00F842B3" w:rsidRDefault="007F444F">
            <w:pPr>
              <w:spacing w:line="230" w:lineRule="auto"/>
            </w:pPr>
            <w:r>
              <w:rPr>
                <w:sz w:val="16"/>
                <w:szCs w:val="16"/>
              </w:rPr>
              <w:t>Core direct-lending market; loans collateralize middle-market CLOs</w:t>
            </w:r>
          </w:p>
        </w:tc>
        <w:tc>
          <w:tcPr>
            <w:tcW w:w="3900" w:type="dxa"/>
            <w:shd w:val="clear" w:color="auto" w:fill="F2F5FB"/>
            <w:tcMar>
              <w:top w:w="40" w:type="dxa"/>
              <w:left w:w="70" w:type="dxa"/>
              <w:bottom w:w="40" w:type="dxa"/>
              <w:right w:w="70" w:type="dxa"/>
            </w:tcMar>
          </w:tcPr>
          <w:p w14:paraId="406AE734" w14:textId="77777777" w:rsidR="00F842B3" w:rsidRDefault="007F444F">
            <w:pPr>
              <w:spacing w:line="230" w:lineRule="auto"/>
            </w:pPr>
            <w:r>
              <w:rPr>
                <w:sz w:val="16"/>
                <w:szCs w:val="16"/>
              </w:rPr>
              <w:t>§2.4 Fund flow: MM CLO issuance US$38.5bn in 2025, 19.7% of all US CLO issuance</w:t>
            </w:r>
          </w:p>
        </w:tc>
      </w:tr>
      <w:tr w:rsidR="00F842B3" w14:paraId="406AE739" w14:textId="77777777">
        <w:tc>
          <w:tcPr>
            <w:tcW w:w="2250" w:type="dxa"/>
            <w:shd w:val="clear" w:color="auto" w:fill="FFFFFF"/>
            <w:tcMar>
              <w:top w:w="40" w:type="dxa"/>
              <w:left w:w="70" w:type="dxa"/>
              <w:bottom w:w="40" w:type="dxa"/>
              <w:right w:w="70" w:type="dxa"/>
            </w:tcMar>
          </w:tcPr>
          <w:p w14:paraId="406AE736" w14:textId="77777777" w:rsidR="00F842B3" w:rsidRDefault="007F444F">
            <w:pPr>
              <w:spacing w:line="230" w:lineRule="auto"/>
            </w:pPr>
            <w:r>
              <w:rPr>
                <w:sz w:val="16"/>
                <w:szCs w:val="16"/>
              </w:rPr>
              <w:t>Sponsor credit conditions &amp; maturity wall</w:t>
            </w:r>
          </w:p>
        </w:tc>
        <w:tc>
          <w:tcPr>
            <w:tcW w:w="3300" w:type="dxa"/>
            <w:shd w:val="clear" w:color="auto" w:fill="FFFFFF"/>
            <w:tcMar>
              <w:top w:w="40" w:type="dxa"/>
              <w:left w:w="70" w:type="dxa"/>
              <w:bottom w:w="40" w:type="dxa"/>
              <w:right w:w="70" w:type="dxa"/>
            </w:tcMar>
          </w:tcPr>
          <w:p w14:paraId="406AE737" w14:textId="77777777" w:rsidR="00F842B3" w:rsidRDefault="007F444F">
            <w:pPr>
              <w:spacing w:line="230" w:lineRule="auto"/>
            </w:pPr>
            <w:r>
              <w:rPr>
                <w:sz w:val="16"/>
                <w:szCs w:val="16"/>
              </w:rPr>
              <w:t>Private credit vs. BSL share of sponsor financing; refinancing and A&amp;E activity</w:t>
            </w:r>
          </w:p>
        </w:tc>
        <w:tc>
          <w:tcPr>
            <w:tcW w:w="3900" w:type="dxa"/>
            <w:shd w:val="clear" w:color="auto" w:fill="FFFFFF"/>
            <w:tcMar>
              <w:top w:w="40" w:type="dxa"/>
              <w:left w:w="70" w:type="dxa"/>
              <w:bottom w:w="40" w:type="dxa"/>
              <w:right w:w="70" w:type="dxa"/>
            </w:tcMar>
          </w:tcPr>
          <w:p w14:paraId="406AE738" w14:textId="77777777" w:rsidR="00F842B3" w:rsidRDefault="007F444F">
            <w:pPr>
              <w:spacing w:line="230" w:lineRule="auto"/>
            </w:pPr>
            <w:r>
              <w:rPr>
                <w:sz w:val="16"/>
                <w:szCs w:val="16"/>
              </w:rPr>
              <w:t>§3 Returns &amp; relative value: direct lending priced 178bp over single-B BSL (2Q26); §7 BDC maturity profile</w:t>
            </w:r>
          </w:p>
        </w:tc>
      </w:tr>
    </w:tbl>
    <w:p w14:paraId="406AE73A" w14:textId="77777777" w:rsidR="00F842B3" w:rsidRDefault="007F444F">
      <w:pPr>
        <w:spacing w:before="30" w:after="180"/>
      </w:pPr>
      <w:r>
        <w:rPr>
          <w:color w:val="5A6B7B"/>
          <w:sz w:val="14"/>
          <w:szCs w:val="14"/>
        </w:rPr>
        <w:t xml:space="preserve">Note: Cross-references are to the </w:t>
      </w:r>
      <w:proofErr w:type="spellStart"/>
      <w:r>
        <w:rPr>
          <w:color w:val="5A6B7B"/>
          <w:sz w:val="14"/>
          <w:szCs w:val="14"/>
        </w:rPr>
        <w:t>Junson</w:t>
      </w:r>
      <w:proofErr w:type="spellEnd"/>
      <w:r>
        <w:rPr>
          <w:color w:val="5A6B7B"/>
          <w:sz w:val="14"/>
          <w:szCs w:val="14"/>
        </w:rPr>
        <w:t xml:space="preserve"> Private Credit Quarterly Report (2026Q3), 26 Aug 2026 edition. The two reports share the sponsor-deal interface: PE deal volume (this report) should directionally track direct-lending origination (PC report) each quarter — a divergence between the two is a data or definition question before it is a market signal.</w:t>
      </w:r>
    </w:p>
    <w:p w14:paraId="406AE73B" w14:textId="77777777" w:rsidR="00F842B3" w:rsidRDefault="007F444F">
      <w:pPr>
        <w:pStyle w:val="Heading1"/>
        <w:spacing w:before="280" w:after="120"/>
      </w:pPr>
      <w:r>
        <w:t>Valuations, Performance &amp; Financing</w:t>
      </w:r>
    </w:p>
    <w:p w14:paraId="406AE73C" w14:textId="77777777" w:rsidR="00F842B3" w:rsidRDefault="007F444F">
      <w:pPr>
        <w:pStyle w:val="Heading2"/>
        <w:spacing w:before="200" w:after="100"/>
      </w:pPr>
      <w:r>
        <w:t>3.1 Entry multiples</w:t>
      </w:r>
    </w:p>
    <w:p w14:paraId="406AE73D" w14:textId="77777777" w:rsidR="00F842B3" w:rsidRDefault="007F444F">
      <w:pPr>
        <w:spacing w:after="140" w:line="264" w:lineRule="auto"/>
        <w:jc w:val="both"/>
      </w:pPr>
      <w:r>
        <w:t xml:space="preserve">Entry marks are softening but have not reset. US PE EV/EBITDA stood at </w:t>
      </w:r>
      <w:r>
        <w:rPr>
          <w:b/>
          <w:bCs/>
        </w:rPr>
        <w:t>12.5x</w:t>
      </w:r>
      <w:r>
        <w:t xml:space="preserve"> and EV/revenue at </w:t>
      </w:r>
      <w:r>
        <w:rPr>
          <w:b/>
          <w:bCs/>
        </w:rPr>
        <w:t>2.8x</w:t>
      </w:r>
      <w:r>
        <w:t xml:space="preserve"> for 2025 (SPI by </w:t>
      </w:r>
      <w:proofErr w:type="spellStart"/>
      <w:r>
        <w:t>StepStone</w:t>
      </w:r>
      <w:proofErr w:type="spellEnd"/>
      <w:r>
        <w:t xml:space="preserve">, as of 31 Dec 2025, reproduced in the Breakdown p. 10). North America &amp; Europe middle-market buyout EV/EBITDA was </w:t>
      </w:r>
      <w:r>
        <w:rPr>
          <w:b/>
          <w:bCs/>
        </w:rPr>
        <w:t>12.3x</w:t>
      </w:r>
      <w:r>
        <w:t xml:space="preserve"> in 2025 and </w:t>
      </w:r>
      <w:r>
        <w:rPr>
          <w:b/>
          <w:bCs/>
        </w:rPr>
        <w:t>10.4x</w:t>
      </w:r>
      <w:r>
        <w:t xml:space="preserve"> YTD 2026 — the YTD print rests on only </w:t>
      </w:r>
      <w:r>
        <w:rPr>
          <w:b/>
          <w:bCs/>
        </w:rPr>
        <w:t>13</w:t>
      </w:r>
      <w:r>
        <w:t xml:space="preserve"> observations and is indicative (US-only: 11.5x on n=6). The size spread has inverted: </w:t>
      </w:r>
      <w:r>
        <w:rPr>
          <w:b/>
          <w:bCs/>
        </w:rPr>
        <w:t>US$5bn+</w:t>
      </w:r>
      <w:r>
        <w:t xml:space="preserve"> global M&amp;A cleared at </w:t>
      </w:r>
      <w:r>
        <w:rPr>
          <w:b/>
          <w:bCs/>
        </w:rPr>
        <w:t>11.1x</w:t>
      </w:r>
      <w:r>
        <w:t xml:space="preserve"> against </w:t>
      </w:r>
      <w:r>
        <w:rPr>
          <w:b/>
          <w:bCs/>
        </w:rPr>
        <w:t>11.8x</w:t>
      </w:r>
      <w:r>
        <w:t xml:space="preserve"> for US </w:t>
      </w:r>
      <w:r>
        <w:rPr>
          <w:b/>
          <w:bCs/>
        </w:rPr>
        <w:t>US$25m–1bn</w:t>
      </w:r>
      <w:r>
        <w:t xml:space="preserve"> deals in the latest year — an unusual reversal of the large-cap premium worth watching.</w:t>
      </w:r>
    </w:p>
    <w:tbl>
      <w:tblPr>
        <w:tblW w:w="9300" w:type="dxa"/>
        <w:tblCellMar>
          <w:left w:w="10" w:type="dxa"/>
          <w:right w:w="10" w:type="dxa"/>
        </w:tblCellMar>
        <w:tblLook w:val="04A0" w:firstRow="1" w:lastRow="0" w:firstColumn="1" w:lastColumn="0" w:noHBand="0" w:noVBand="1"/>
      </w:tblPr>
      <w:tblGrid>
        <w:gridCol w:w="4650"/>
        <w:gridCol w:w="4650"/>
      </w:tblGrid>
      <w:tr w:rsidR="00F842B3" w:rsidRPr="00B76ACA" w14:paraId="406AE744" w14:textId="77777777">
        <w:tc>
          <w:tcPr>
            <w:tcW w:w="4650" w:type="dxa"/>
            <w:tcMar>
              <w:top w:w="30" w:type="dxa"/>
              <w:left w:w="50" w:type="dxa"/>
              <w:bottom w:w="30" w:type="dxa"/>
              <w:right w:w="50" w:type="dxa"/>
            </w:tcMar>
          </w:tcPr>
          <w:p w14:paraId="406AE73E" w14:textId="77777777" w:rsidR="00F842B3" w:rsidRDefault="007F444F">
            <w:pPr>
              <w:keepNext/>
              <w:spacing w:before="60" w:after="30"/>
            </w:pPr>
            <w:r>
              <w:rPr>
                <w:b/>
                <w:bCs/>
                <w:color w:val="16283F"/>
              </w:rPr>
              <w:lastRenderedPageBreak/>
              <w:t>Exhibit 13: MM buyout median EV/EBITDA (NA &amp; Europe)</w:t>
            </w:r>
          </w:p>
          <w:p w14:paraId="406AE73F" w14:textId="77777777" w:rsidR="00F842B3" w:rsidRDefault="007F444F">
            <w:r>
              <w:rPr>
                <w:noProof/>
              </w:rPr>
              <w:drawing>
                <wp:inline distT="0" distB="0" distL="0" distR="0" wp14:anchorId="406AE983" wp14:editId="406AE984">
                  <wp:extent cx="2857500" cy="2143125"/>
                  <wp:effectExtent l="0" t="0" r="0" b="0"/>
                  <wp:docPr id="1090719515" name="Picture 1090719515">
                    <a:extLst xmlns:a="http://schemas.openxmlformats.org/drawingml/2006/main">
                      <a:ext uri="{FF2B5EF4-FFF2-40B4-BE49-F238E27FC236}">
                        <a16:creationId xmlns:a16="http://schemas.microsoft.com/office/drawing/2014/main" id="{5F33C772-FEF2-4799-B40B-FDBD3A0A7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2143125"/>
                          </a:xfrm>
                          <a:prstGeom prst="rect">
                            <a:avLst/>
                          </a:prstGeom>
                        </pic:spPr>
                      </pic:pic>
                    </a:graphicData>
                  </a:graphic>
                </wp:inline>
              </w:drawing>
            </w:r>
          </w:p>
          <w:p w14:paraId="406AE740" w14:textId="77777777" w:rsidR="00F842B3" w:rsidRDefault="007F444F">
            <w:pPr>
              <w:spacing w:before="30" w:after="40"/>
            </w:pPr>
            <w:r>
              <w:rPr>
                <w:color w:val="5A6B7B"/>
                <w:sz w:val="14"/>
                <w:szCs w:val="14"/>
              </w:rPr>
              <w:t xml:space="preserve">Note: 2026* is YTD on n=13, indicative. Source: </w:t>
            </w:r>
            <w:proofErr w:type="spellStart"/>
            <w:r>
              <w:rPr>
                <w:color w:val="5A6B7B"/>
                <w:sz w:val="14"/>
                <w:szCs w:val="14"/>
              </w:rPr>
              <w:t>PitchBook</w:t>
            </w:r>
            <w:proofErr w:type="spellEnd"/>
            <w:r>
              <w:rPr>
                <w:color w:val="5A6B7B"/>
                <w:sz w:val="14"/>
                <w:szCs w:val="14"/>
              </w:rPr>
              <w:t>; as of 31 Mar 2026.</w:t>
            </w:r>
          </w:p>
        </w:tc>
        <w:tc>
          <w:tcPr>
            <w:tcW w:w="4650" w:type="dxa"/>
            <w:tcMar>
              <w:top w:w="30" w:type="dxa"/>
              <w:left w:w="50" w:type="dxa"/>
              <w:bottom w:w="30" w:type="dxa"/>
              <w:right w:w="50" w:type="dxa"/>
            </w:tcMar>
          </w:tcPr>
          <w:p w14:paraId="406AE741" w14:textId="77777777" w:rsidR="00F842B3" w:rsidRDefault="007F444F">
            <w:pPr>
              <w:keepNext/>
              <w:spacing w:before="60" w:after="30"/>
            </w:pPr>
            <w:r>
              <w:rPr>
                <w:b/>
                <w:bCs/>
                <w:color w:val="16283F"/>
              </w:rPr>
              <w:t>Exhibit 14: M&amp;A EV/EBITDA by deal size</w:t>
            </w:r>
          </w:p>
          <w:p w14:paraId="406AE742" w14:textId="77777777" w:rsidR="00F842B3" w:rsidRDefault="007F444F">
            <w:r>
              <w:rPr>
                <w:noProof/>
              </w:rPr>
              <w:drawing>
                <wp:inline distT="0" distB="0" distL="0" distR="0" wp14:anchorId="406AE985" wp14:editId="406AE986">
                  <wp:extent cx="2857500" cy="2143125"/>
                  <wp:effectExtent l="0" t="0" r="0" b="0"/>
                  <wp:docPr id="1944081882" name="Picture 1944081882">
                    <a:extLst xmlns:a="http://schemas.openxmlformats.org/drawingml/2006/main">
                      <a:ext uri="{FF2B5EF4-FFF2-40B4-BE49-F238E27FC236}">
                        <a16:creationId xmlns:a16="http://schemas.microsoft.com/office/drawing/2014/main" id="{88B7666A-6CE9-4D5F-A66A-2C00EE7B61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2143125"/>
                          </a:xfrm>
                          <a:prstGeom prst="rect">
                            <a:avLst/>
                          </a:prstGeom>
                        </pic:spPr>
                      </pic:pic>
                    </a:graphicData>
                  </a:graphic>
                </wp:inline>
              </w:drawing>
            </w:r>
          </w:p>
          <w:p w14:paraId="406AE743" w14:textId="77777777" w:rsidR="00F842B3" w:rsidRDefault="007F444F">
            <w:pPr>
              <w:spacing w:before="30" w:after="40"/>
            </w:pPr>
            <w:r>
              <w:rPr>
                <w:color w:val="5A6B7B"/>
                <w:sz w:val="14"/>
                <w:szCs w:val="14"/>
              </w:rPr>
              <w:t xml:space="preserve">Note: US$5bn+ is global; US$25m–1bn is US. Source: </w:t>
            </w:r>
            <w:proofErr w:type="spellStart"/>
            <w:r>
              <w:rPr>
                <w:color w:val="5A6B7B"/>
                <w:sz w:val="14"/>
                <w:szCs w:val="14"/>
              </w:rPr>
              <w:t>PitchBook</w:t>
            </w:r>
            <w:proofErr w:type="spellEnd"/>
            <w:r>
              <w:rPr>
                <w:color w:val="5A6B7B"/>
                <w:sz w:val="14"/>
                <w:szCs w:val="14"/>
              </w:rPr>
              <w:t>; as of 31 Mar 2026.</w:t>
            </w:r>
          </w:p>
        </w:tc>
      </w:tr>
    </w:tbl>
    <w:p w14:paraId="406AE745" w14:textId="77777777" w:rsidR="00F842B3" w:rsidRDefault="00F842B3">
      <w:pPr>
        <w:spacing w:after="100"/>
      </w:pPr>
    </w:p>
    <w:p w14:paraId="406AE746" w14:textId="1C577FD1" w:rsidR="00F842B3" w:rsidRDefault="007F444F">
      <w:pPr>
        <w:spacing w:after="140" w:line="264" w:lineRule="auto"/>
        <w:jc w:val="both"/>
      </w:pPr>
      <w:r>
        <w:t xml:space="preserve">Isolating the </w:t>
      </w:r>
      <w:r>
        <w:rPr>
          <w:b/>
          <w:bCs/>
        </w:rPr>
        <w:t>US middle market</w:t>
      </w:r>
      <w:r>
        <w:t xml:space="preserve">, the same series is noisier but tells a consistent story: the US MM buyout median printed </w:t>
      </w:r>
      <w:r>
        <w:rPr>
          <w:b/>
          <w:bCs/>
        </w:rPr>
        <w:t>16.5x</w:t>
      </w:r>
      <w:r>
        <w:t xml:space="preserve"> EV/EBITDA in 2025 (n=22) before falling to </w:t>
      </w:r>
      <w:r>
        <w:rPr>
          <w:b/>
          <w:bCs/>
        </w:rPr>
        <w:t>11.5x</w:t>
      </w:r>
      <w:r>
        <w:t xml:space="preserve"> YTD 2026 (n=6) — wide swings that reflect thin samples as much as price, which is why the blended NA &amp; Europe series above is the primary reference. On revenue, the US MM median sits at </w:t>
      </w:r>
      <w:r>
        <w:rPr>
          <w:b/>
          <w:bCs/>
        </w:rPr>
        <w:t>2.7x</w:t>
      </w:r>
      <w:r>
        <w:t xml:space="preserve"> YTD against 3.0x at the 2021–22 peak.</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4D" w14:textId="77777777">
        <w:tc>
          <w:tcPr>
            <w:tcW w:w="4650" w:type="dxa"/>
            <w:tcMar>
              <w:top w:w="30" w:type="dxa"/>
              <w:left w:w="50" w:type="dxa"/>
              <w:bottom w:w="30" w:type="dxa"/>
              <w:right w:w="50" w:type="dxa"/>
            </w:tcMar>
          </w:tcPr>
          <w:p w14:paraId="406AE747" w14:textId="77777777" w:rsidR="00F842B3" w:rsidRDefault="007F444F">
            <w:pPr>
              <w:keepNext/>
              <w:spacing w:before="60" w:after="30"/>
            </w:pPr>
            <w:r>
              <w:rPr>
                <w:b/>
                <w:bCs/>
                <w:color w:val="16283F"/>
              </w:rPr>
              <w:t>Exhibit 15: Median US PE middle-market buyout EV/EBITDA multiple</w:t>
            </w:r>
          </w:p>
          <w:p w14:paraId="406AE748" w14:textId="77777777" w:rsidR="00F842B3" w:rsidRDefault="007F444F">
            <w:r>
              <w:rPr>
                <w:noProof/>
              </w:rPr>
              <w:drawing>
                <wp:inline distT="0" distB="0" distL="0" distR="0" wp14:anchorId="406AE987" wp14:editId="406AE988">
                  <wp:extent cx="2857500" cy="2114550"/>
                  <wp:effectExtent l="0" t="0" r="0" b="0"/>
                  <wp:docPr id="9863284" name="Picture 9863284">
                    <a:extLst xmlns:a="http://schemas.openxmlformats.org/drawingml/2006/main">
                      <a:ext uri="{FF2B5EF4-FFF2-40B4-BE49-F238E27FC236}">
                        <a16:creationId xmlns:a16="http://schemas.microsoft.com/office/drawing/2014/main" id="{50CF327B-F431-48F0-B8FA-829F84F518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2114550"/>
                          </a:xfrm>
                          <a:prstGeom prst="rect">
                            <a:avLst/>
                          </a:prstGeom>
                        </pic:spPr>
                      </pic:pic>
                    </a:graphicData>
                  </a:graphic>
                </wp:inline>
              </w:drawing>
            </w:r>
          </w:p>
          <w:p w14:paraId="406AE749" w14:textId="77777777" w:rsidR="00F842B3" w:rsidRDefault="007F444F">
            <w:pPr>
              <w:spacing w:before="30" w:after="40"/>
            </w:pPr>
            <w:r>
              <w:rPr>
                <w:color w:val="5A6B7B"/>
                <w:sz w:val="14"/>
                <w:szCs w:val="14"/>
              </w:rPr>
              <w:t xml:space="preserve">Note: US-only series; 2026* is YTD on n=6, indicative. Source: </w:t>
            </w:r>
            <w:proofErr w:type="spellStart"/>
            <w:r>
              <w:rPr>
                <w:color w:val="5A6B7B"/>
                <w:sz w:val="14"/>
                <w:szCs w:val="14"/>
              </w:rPr>
              <w:t>PitchBook</w:t>
            </w:r>
            <w:proofErr w:type="spellEnd"/>
            <w:r>
              <w:rPr>
                <w:color w:val="5A6B7B"/>
                <w:sz w:val="14"/>
                <w:szCs w:val="14"/>
              </w:rPr>
              <w:t>; as of 31 Mar 2026.</w:t>
            </w:r>
          </w:p>
        </w:tc>
        <w:tc>
          <w:tcPr>
            <w:tcW w:w="4650" w:type="dxa"/>
            <w:tcMar>
              <w:top w:w="30" w:type="dxa"/>
              <w:left w:w="50" w:type="dxa"/>
              <w:bottom w:w="30" w:type="dxa"/>
              <w:right w:w="50" w:type="dxa"/>
            </w:tcMar>
          </w:tcPr>
          <w:p w14:paraId="406AE74A" w14:textId="77777777" w:rsidR="00F842B3" w:rsidRDefault="007F444F">
            <w:pPr>
              <w:keepNext/>
              <w:spacing w:before="60" w:after="30"/>
            </w:pPr>
            <w:r>
              <w:rPr>
                <w:b/>
                <w:bCs/>
                <w:color w:val="16283F"/>
              </w:rPr>
              <w:t>Exhibit 16: Median US PE middle-market buyout EV/revenue multiple</w:t>
            </w:r>
          </w:p>
          <w:p w14:paraId="406AE74B" w14:textId="77777777" w:rsidR="00F842B3" w:rsidRDefault="007F444F">
            <w:r>
              <w:rPr>
                <w:noProof/>
              </w:rPr>
              <w:drawing>
                <wp:inline distT="0" distB="0" distL="0" distR="0" wp14:anchorId="406AE989" wp14:editId="406AE98A">
                  <wp:extent cx="2857500" cy="2152650"/>
                  <wp:effectExtent l="0" t="0" r="0" b="0"/>
                  <wp:docPr id="169055384" name="Picture 169055384">
                    <a:extLst xmlns:a="http://schemas.openxmlformats.org/drawingml/2006/main">
                      <a:ext uri="{FF2B5EF4-FFF2-40B4-BE49-F238E27FC236}">
                        <a16:creationId xmlns:a16="http://schemas.microsoft.com/office/drawing/2014/main" id="{EBAB9C12-0C84-4295-9605-87F3FA558C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2152650"/>
                          </a:xfrm>
                          <a:prstGeom prst="rect">
                            <a:avLst/>
                          </a:prstGeom>
                        </pic:spPr>
                      </pic:pic>
                    </a:graphicData>
                  </a:graphic>
                </wp:inline>
              </w:drawing>
            </w:r>
          </w:p>
          <w:p w14:paraId="406AE74C" w14:textId="77777777" w:rsidR="00F842B3" w:rsidRDefault="007F444F">
            <w:pPr>
              <w:spacing w:before="30" w:after="40"/>
            </w:pPr>
            <w:r>
              <w:rPr>
                <w:color w:val="5A6B7B"/>
                <w:sz w:val="14"/>
                <w:szCs w:val="14"/>
              </w:rPr>
              <w:t xml:space="preserve">Note: US-only series; 2026* is YTD on n=11, indicative. Source: </w:t>
            </w:r>
            <w:proofErr w:type="spellStart"/>
            <w:r>
              <w:rPr>
                <w:color w:val="5A6B7B"/>
                <w:sz w:val="14"/>
                <w:szCs w:val="14"/>
              </w:rPr>
              <w:t>PitchBook</w:t>
            </w:r>
            <w:proofErr w:type="spellEnd"/>
            <w:r>
              <w:rPr>
                <w:color w:val="5A6B7B"/>
                <w:sz w:val="14"/>
                <w:szCs w:val="14"/>
              </w:rPr>
              <w:t>; as of 31 Mar 2026.</w:t>
            </w:r>
          </w:p>
        </w:tc>
      </w:tr>
    </w:tbl>
    <w:p w14:paraId="406AE74E" w14:textId="77777777" w:rsidR="00F842B3" w:rsidRDefault="00F842B3">
      <w:pPr>
        <w:spacing w:after="100"/>
      </w:pPr>
    </w:p>
    <w:p w14:paraId="406AE74F" w14:textId="77777777" w:rsidR="00F842B3" w:rsidRDefault="007F444F">
      <w:pPr>
        <w:pStyle w:val="Heading2"/>
        <w:spacing w:before="200" w:after="100"/>
      </w:pPr>
      <w:r>
        <w:t>3.2 Fund performance: rolling horizon IRR</w:t>
      </w:r>
    </w:p>
    <w:p w14:paraId="406AE750" w14:textId="1EABC839" w:rsidR="00F842B3" w:rsidRDefault="007F444F">
      <w:pPr>
        <w:spacing w:after="140" w:line="264" w:lineRule="auto"/>
        <w:jc w:val="both"/>
      </w:pPr>
      <w:r>
        <w:t xml:space="preserve">Rolling one-year horizon IRRs have settled in single digits, and the ordering matters as much as the level: the </w:t>
      </w:r>
      <w:r>
        <w:rPr>
          <w:b/>
          <w:bCs/>
        </w:rPr>
        <w:t>middle market leads at 8.7%</w:t>
      </w:r>
      <w:r>
        <w:t xml:space="preserve">, US PE overall runs at </w:t>
      </w:r>
      <w:r>
        <w:rPr>
          <w:b/>
          <w:bCs/>
        </w:rPr>
        <w:t>7.2%</w:t>
      </w:r>
      <w:r>
        <w:t xml:space="preserve">, and </w:t>
      </w:r>
      <w:proofErr w:type="spellStart"/>
      <w:r>
        <w:rPr>
          <w:b/>
          <w:bCs/>
        </w:rPr>
        <w:t>megafunds</w:t>
      </w:r>
      <w:proofErr w:type="spellEnd"/>
      <w:r>
        <w:rPr>
          <w:b/>
          <w:bCs/>
        </w:rPr>
        <w:t xml:space="preserve"> trail at 5.7%</w:t>
      </w:r>
      <w:r>
        <w:t xml:space="preserve"> (as of 30 Sep 2025 — performance lags ~3 quarters). The cycle context makes the reset stark: the same series peaked above </w:t>
      </w:r>
      <w:r>
        <w:rPr>
          <w:b/>
          <w:bCs/>
        </w:rPr>
        <w:t>50%</w:t>
      </w:r>
      <w:r>
        <w:t xml:space="preserve"> in the 2021 revaluation wave, swung to roughly </w:t>
      </w:r>
      <w:r>
        <w:rPr>
          <w:b/>
          <w:bCs/>
        </w:rPr>
        <w:t>-5%</w:t>
      </w:r>
      <w:r>
        <w:t xml:space="preserve"> for </w:t>
      </w:r>
      <w:proofErr w:type="spellStart"/>
      <w:r>
        <w:t>megafunds</w:t>
      </w:r>
      <w:proofErr w:type="spellEnd"/>
      <w:r>
        <w:t xml:space="preserve"> in the 2022–23 correction, and has since flattened into a narrow single-digit band — marks have stabilised, but at a level below most funds' underwritten hurdles. In a slow-exit regime DPI is the honest measure; the distribution shortfall in §4 is precisely what keeps LP re-up capacity constrained in §5. </w:t>
      </w:r>
    </w:p>
    <w:p w14:paraId="406AE751" w14:textId="77777777" w:rsidR="00F842B3" w:rsidRDefault="007F444F">
      <w:pPr>
        <w:keepNext/>
        <w:spacing w:before="60" w:after="30"/>
      </w:pPr>
      <w:r>
        <w:rPr>
          <w:b/>
          <w:bCs/>
          <w:color w:val="16283F"/>
        </w:rPr>
        <w:lastRenderedPageBreak/>
        <w:t>Exhibit 17: US rolling one-year horizon IRR by segment</w:t>
      </w:r>
    </w:p>
    <w:p w14:paraId="406AE752" w14:textId="77777777" w:rsidR="00F842B3" w:rsidRDefault="007F444F">
      <w:r>
        <w:rPr>
          <w:noProof/>
        </w:rPr>
        <w:drawing>
          <wp:inline distT="0" distB="0" distL="0" distR="0" wp14:anchorId="406AE98B" wp14:editId="406AE98C">
            <wp:extent cx="6143625" cy="2867025"/>
            <wp:effectExtent l="0" t="0" r="0" b="0"/>
            <wp:docPr id="72256023" name="Picture 72256023">
              <a:extLst xmlns:a="http://schemas.openxmlformats.org/drawingml/2006/main">
                <a:ext uri="{FF2B5EF4-FFF2-40B4-BE49-F238E27FC236}">
                  <a16:creationId xmlns:a16="http://schemas.microsoft.com/office/drawing/2014/main" id="{48974AAE-3533-4E1E-B0AC-97EC94972D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43625" cy="2867025"/>
                    </a:xfrm>
                    <a:prstGeom prst="rect">
                      <a:avLst/>
                    </a:prstGeom>
                  </pic:spPr>
                </pic:pic>
              </a:graphicData>
            </a:graphic>
          </wp:inline>
        </w:drawing>
      </w:r>
    </w:p>
    <w:p w14:paraId="406AE753" w14:textId="77777777" w:rsidR="00F842B3" w:rsidRDefault="007F444F">
      <w:pPr>
        <w:spacing w:before="30" w:after="180"/>
      </w:pPr>
      <w:r>
        <w:rPr>
          <w:color w:val="5A6B7B"/>
          <w:sz w:val="14"/>
          <w:szCs w:val="14"/>
        </w:rPr>
        <w:t xml:space="preserve">Note: Latest values labelled at right (as of 30 Sep 2025): middle market 8.7%, US PE 7.2%, </w:t>
      </w:r>
      <w:proofErr w:type="spellStart"/>
      <w:r>
        <w:rPr>
          <w:color w:val="5A6B7B"/>
          <w:sz w:val="14"/>
          <w:szCs w:val="14"/>
        </w:rPr>
        <w:t>megafunds</w:t>
      </w:r>
      <w:proofErr w:type="spellEnd"/>
      <w:r>
        <w:rPr>
          <w:color w:val="5A6B7B"/>
          <w:sz w:val="14"/>
          <w:szCs w:val="14"/>
        </w:rPr>
        <w:t xml:space="preserve"> 5.7%. Source: </w:t>
      </w:r>
      <w:proofErr w:type="spellStart"/>
      <w:r>
        <w:rPr>
          <w:color w:val="5A6B7B"/>
          <w:sz w:val="14"/>
          <w:szCs w:val="14"/>
        </w:rPr>
        <w:t>PitchBook</w:t>
      </w:r>
      <w:proofErr w:type="spellEnd"/>
      <w:r>
        <w:rPr>
          <w:color w:val="5A6B7B"/>
          <w:sz w:val="14"/>
          <w:szCs w:val="14"/>
        </w:rPr>
        <w:t>.</w:t>
      </w:r>
    </w:p>
    <w:p w14:paraId="406AE754" w14:textId="77777777" w:rsidR="00F842B3" w:rsidRDefault="007F444F">
      <w:pPr>
        <w:spacing w:after="140" w:line="264" w:lineRule="auto"/>
        <w:jc w:val="both"/>
      </w:pPr>
      <w:r>
        <w:t xml:space="preserve">The </w:t>
      </w:r>
      <w:r>
        <w:rPr>
          <w:b/>
          <w:bCs/>
        </w:rPr>
        <w:t>European</w:t>
      </w:r>
      <w:r>
        <w:t xml:space="preserve"> read is materially weaker: Europe PE overall runs at just </w:t>
      </w:r>
      <w:r>
        <w:rPr>
          <w:b/>
          <w:bCs/>
        </w:rPr>
        <w:t>1.4%</w:t>
      </w:r>
      <w:r>
        <w:t xml:space="preserve"> rolling one-year IRR, European </w:t>
      </w:r>
      <w:proofErr w:type="spellStart"/>
      <w:r>
        <w:t>megafunds</w:t>
      </w:r>
      <w:proofErr w:type="spellEnd"/>
      <w:r>
        <w:t xml:space="preserve"> are </w:t>
      </w:r>
      <w:r>
        <w:rPr>
          <w:b/>
          <w:bCs/>
        </w:rPr>
        <w:t>negative at -2.6%</w:t>
      </w:r>
      <w:r>
        <w:t xml:space="preserve">, while the European middle market at </w:t>
      </w:r>
      <w:r>
        <w:rPr>
          <w:b/>
          <w:bCs/>
        </w:rPr>
        <w:t>7.8%</w:t>
      </w:r>
      <w:r>
        <w:t xml:space="preserve"> performs almost exactly in line with its US counterpart (8.7%). Two implications: the middle market's relative resilience is a </w:t>
      </w:r>
      <w:r>
        <w:rPr>
          <w:b/>
          <w:bCs/>
        </w:rPr>
        <w:t>trans-Atlantic pattern</w:t>
      </w:r>
      <w:r>
        <w:t xml:space="preserve">, not a US quirk, supporting the fund-selection tilt in §2.4; and the </w:t>
      </w:r>
      <w:proofErr w:type="spellStart"/>
      <w:r>
        <w:t>megafund</w:t>
      </w:r>
      <w:proofErr w:type="spellEnd"/>
      <w:r>
        <w:t xml:space="preserve"> segment's weakness is amplified in Europe, where FX and a thinner exit market compound the same liquidity drought.</w:t>
      </w:r>
    </w:p>
    <w:p w14:paraId="406AE755" w14:textId="77777777" w:rsidR="00F842B3" w:rsidRDefault="007F444F">
      <w:pPr>
        <w:keepNext/>
        <w:spacing w:before="60" w:after="30"/>
      </w:pPr>
      <w:r>
        <w:rPr>
          <w:b/>
          <w:bCs/>
          <w:color w:val="16283F"/>
        </w:rPr>
        <w:t>Exhibit 18: Europe rolling one-year horizon IRR by segment</w:t>
      </w:r>
    </w:p>
    <w:p w14:paraId="406AE756" w14:textId="77777777" w:rsidR="00F842B3" w:rsidRDefault="007F444F">
      <w:r>
        <w:rPr>
          <w:noProof/>
        </w:rPr>
        <w:drawing>
          <wp:inline distT="0" distB="0" distL="0" distR="0" wp14:anchorId="406AE98D" wp14:editId="406AE98E">
            <wp:extent cx="6143625" cy="2867025"/>
            <wp:effectExtent l="0" t="0" r="0" b="0"/>
            <wp:docPr id="1938286330" name="Picture 1938286330">
              <a:extLst xmlns:a="http://schemas.openxmlformats.org/drawingml/2006/main">
                <a:ext uri="{FF2B5EF4-FFF2-40B4-BE49-F238E27FC236}">
                  <a16:creationId xmlns:a16="http://schemas.microsoft.com/office/drawing/2014/main" id="{95A71230-A40E-47DA-9CCD-2A87EE51DF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43625" cy="2867025"/>
                    </a:xfrm>
                    <a:prstGeom prst="rect">
                      <a:avLst/>
                    </a:prstGeom>
                  </pic:spPr>
                </pic:pic>
              </a:graphicData>
            </a:graphic>
          </wp:inline>
        </w:drawing>
      </w:r>
    </w:p>
    <w:p w14:paraId="406AE757" w14:textId="77777777" w:rsidR="00F842B3" w:rsidRDefault="007F444F">
      <w:pPr>
        <w:spacing w:before="30" w:after="180"/>
      </w:pPr>
      <w:r>
        <w:rPr>
          <w:color w:val="5A6B7B"/>
          <w:sz w:val="14"/>
          <w:szCs w:val="14"/>
        </w:rPr>
        <w:t xml:space="preserve">Note: Latest values labelled at right (as of 30 Sep 2025): Europe middle market 7.8%, Europe PE 1.4%, Europe </w:t>
      </w:r>
      <w:proofErr w:type="spellStart"/>
      <w:r>
        <w:rPr>
          <w:color w:val="5A6B7B"/>
          <w:sz w:val="14"/>
          <w:szCs w:val="14"/>
        </w:rPr>
        <w:t>megafunds</w:t>
      </w:r>
      <w:proofErr w:type="spellEnd"/>
      <w:r>
        <w:rPr>
          <w:color w:val="5A6B7B"/>
          <w:sz w:val="14"/>
          <w:szCs w:val="14"/>
        </w:rPr>
        <w:t xml:space="preserve"> -2.6%. Source: </w:t>
      </w:r>
      <w:proofErr w:type="spellStart"/>
      <w:r>
        <w:rPr>
          <w:color w:val="5A6B7B"/>
          <w:sz w:val="14"/>
          <w:szCs w:val="14"/>
        </w:rPr>
        <w:t>PitchBook</w:t>
      </w:r>
      <w:proofErr w:type="spellEnd"/>
      <w:r>
        <w:rPr>
          <w:color w:val="5A6B7B"/>
          <w:sz w:val="14"/>
          <w:szCs w:val="14"/>
        </w:rPr>
        <w:t>.</w:t>
      </w:r>
    </w:p>
    <w:p w14:paraId="406AE758" w14:textId="77777777" w:rsidR="00F842B3" w:rsidRDefault="007F444F">
      <w:pPr>
        <w:pStyle w:val="Heading1"/>
        <w:spacing w:before="280" w:after="120"/>
      </w:pPr>
      <w:r>
        <w:t>Exits &amp; Liquidity</w:t>
      </w:r>
    </w:p>
    <w:p w14:paraId="406AE759" w14:textId="77777777" w:rsidR="00F842B3" w:rsidRDefault="007F444F">
      <w:pPr>
        <w:pStyle w:val="Heading2"/>
        <w:spacing w:before="200" w:after="100"/>
      </w:pPr>
      <w:r>
        <w:t>4.1 Exit activity</w:t>
      </w:r>
    </w:p>
    <w:p w14:paraId="406AE75A" w14:textId="77777777" w:rsidR="00F842B3" w:rsidRDefault="007F444F">
      <w:pPr>
        <w:spacing w:after="140" w:line="264" w:lineRule="auto"/>
        <w:jc w:val="both"/>
      </w:pPr>
      <w:r>
        <w:t xml:space="preserve">Distribution conditions worsened. Exit value fell to </w:t>
      </w:r>
      <w:r>
        <w:rPr>
          <w:b/>
          <w:bCs/>
        </w:rPr>
        <w:t>US$102.6bn</w:t>
      </w:r>
      <w:r>
        <w:t xml:space="preserve"> (</w:t>
      </w:r>
      <w:r>
        <w:rPr>
          <w:b/>
          <w:bCs/>
        </w:rPr>
        <w:t>-46.3%</w:t>
      </w:r>
      <w:r>
        <w:t xml:space="preserve"> QoQ, </w:t>
      </w:r>
      <w:r>
        <w:rPr>
          <w:b/>
          <w:bCs/>
        </w:rPr>
        <w:t>-7.4%</w:t>
      </w:r>
      <w:r>
        <w:t xml:space="preserve"> YoY) on </w:t>
      </w:r>
      <w:r>
        <w:rPr>
          <w:b/>
          <w:bCs/>
        </w:rPr>
        <w:t>353</w:t>
      </w:r>
      <w:r>
        <w:t xml:space="preserve"> exits, with </w:t>
      </w:r>
      <w:r>
        <w:rPr>
          <w:b/>
          <w:bCs/>
        </w:rPr>
        <w:t>US$1bn+</w:t>
      </w:r>
      <w:r>
        <w:t xml:space="preserve"> mega-exits anchoring more than </w:t>
      </w:r>
      <w:r>
        <w:rPr>
          <w:b/>
          <w:bCs/>
        </w:rPr>
        <w:t>60%</w:t>
      </w:r>
      <w:r>
        <w:t xml:space="preserve"> of quarterly value. The lone bright spot was the public window: listing value rose </w:t>
      </w:r>
      <w:r>
        <w:rPr>
          <w:b/>
          <w:bCs/>
        </w:rPr>
        <w:t>42.2%</w:t>
      </w:r>
      <w:r>
        <w:t xml:space="preserve"> sequentially to </w:t>
      </w:r>
      <w:r>
        <w:rPr>
          <w:b/>
          <w:bCs/>
        </w:rPr>
        <w:t>US$27.6bn</w:t>
      </w:r>
      <w:r>
        <w:t xml:space="preserve"> and the count doubled to </w:t>
      </w:r>
      <w:r>
        <w:rPr>
          <w:b/>
          <w:bCs/>
        </w:rPr>
        <w:t>12</w:t>
      </w:r>
      <w:r>
        <w:t xml:space="preserve">, though the reopening was narrow and skewed to B2B and industrials. The deals-to-exits ratio widened to </w:t>
      </w:r>
      <w:r>
        <w:rPr>
          <w:b/>
          <w:bCs/>
        </w:rPr>
        <w:t>1.41</w:t>
      </w:r>
      <w:r>
        <w:t xml:space="preserve"> from 1.35 in 2025: the industry is still adding inventory faster than it clears it.</w:t>
      </w:r>
    </w:p>
    <w:p w14:paraId="406AE75B" w14:textId="77777777" w:rsidR="00F842B3" w:rsidRDefault="007F444F">
      <w:pPr>
        <w:keepNext/>
        <w:spacing w:before="60" w:after="30"/>
      </w:pPr>
      <w:r>
        <w:rPr>
          <w:b/>
          <w:bCs/>
          <w:color w:val="16283F"/>
        </w:rPr>
        <w:lastRenderedPageBreak/>
        <w:t>Exhibit 19: US PE exit value and count by quarter</w:t>
      </w:r>
    </w:p>
    <w:p w14:paraId="406AE75C" w14:textId="77777777" w:rsidR="00F842B3" w:rsidRDefault="007F444F">
      <w:r>
        <w:rPr>
          <w:noProof/>
        </w:rPr>
        <w:drawing>
          <wp:inline distT="0" distB="0" distL="0" distR="0" wp14:anchorId="406AE98F" wp14:editId="406AE990">
            <wp:extent cx="6143625" cy="2762250"/>
            <wp:effectExtent l="0" t="0" r="0" b="0"/>
            <wp:docPr id="754176245" name="Picture 754176245">
              <a:extLst xmlns:a="http://schemas.openxmlformats.org/drawingml/2006/main">
                <a:ext uri="{FF2B5EF4-FFF2-40B4-BE49-F238E27FC236}">
                  <a16:creationId xmlns:a16="http://schemas.microsoft.com/office/drawing/2014/main" id="{1F93BA4F-C6ED-4130-A5BE-96304DE877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43625" cy="2762250"/>
                    </a:xfrm>
                    <a:prstGeom prst="rect">
                      <a:avLst/>
                    </a:prstGeom>
                  </pic:spPr>
                </pic:pic>
              </a:graphicData>
            </a:graphic>
          </wp:inline>
        </w:drawing>
      </w:r>
    </w:p>
    <w:p w14:paraId="406AE75D" w14:textId="77777777" w:rsidR="00F842B3" w:rsidRDefault="007F444F">
      <w:pPr>
        <w:spacing w:before="30" w:after="180"/>
      </w:pPr>
      <w:r>
        <w:rPr>
          <w:color w:val="5A6B7B"/>
          <w:sz w:val="14"/>
          <w:szCs w:val="14"/>
        </w:rPr>
        <w:t xml:space="preserve">Note: Total exit value and count including </w:t>
      </w:r>
      <w:proofErr w:type="spellStart"/>
      <w:r>
        <w:rPr>
          <w:color w:val="5A6B7B"/>
          <w:sz w:val="14"/>
          <w:szCs w:val="14"/>
        </w:rPr>
        <w:t>PitchBook</w:t>
      </w:r>
      <w:proofErr w:type="spellEnd"/>
      <w:r>
        <w:rPr>
          <w:color w:val="5A6B7B"/>
          <w:sz w:val="14"/>
          <w:szCs w:val="14"/>
        </w:rPr>
        <w:t xml:space="preserve"> estimated figures; count on right scale. Source: </w:t>
      </w:r>
      <w:proofErr w:type="spellStart"/>
      <w:r>
        <w:rPr>
          <w:color w:val="5A6B7B"/>
          <w:sz w:val="14"/>
          <w:szCs w:val="14"/>
        </w:rPr>
        <w:t>PitchBook</w:t>
      </w:r>
      <w:proofErr w:type="spellEnd"/>
      <w:r>
        <w:rPr>
          <w:color w:val="5A6B7B"/>
          <w:sz w:val="14"/>
          <w:szCs w:val="14"/>
        </w:rPr>
        <w:t>; as of 30 Jun 2026.</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64" w14:textId="77777777">
        <w:tc>
          <w:tcPr>
            <w:tcW w:w="4650" w:type="dxa"/>
            <w:tcMar>
              <w:top w:w="30" w:type="dxa"/>
              <w:left w:w="50" w:type="dxa"/>
              <w:bottom w:w="30" w:type="dxa"/>
              <w:right w:w="50" w:type="dxa"/>
            </w:tcMar>
          </w:tcPr>
          <w:p w14:paraId="406AE75E" w14:textId="77777777" w:rsidR="00F842B3" w:rsidRDefault="007F444F">
            <w:pPr>
              <w:keepNext/>
              <w:spacing w:before="60" w:after="30"/>
            </w:pPr>
            <w:r>
              <w:rPr>
                <w:b/>
                <w:bCs/>
                <w:color w:val="16283F"/>
              </w:rPr>
              <w:t>Exhibit 20: Exit value by route (</w:t>
            </w:r>
            <w:proofErr w:type="spellStart"/>
            <w:r>
              <w:rPr>
                <w:b/>
                <w:bCs/>
                <w:color w:val="16283F"/>
              </w:rPr>
              <w:t>US$bn</w:t>
            </w:r>
            <w:proofErr w:type="spellEnd"/>
            <w:r>
              <w:rPr>
                <w:b/>
                <w:bCs/>
                <w:color w:val="16283F"/>
              </w:rPr>
              <w:t>, quarterly)</w:t>
            </w:r>
          </w:p>
          <w:p w14:paraId="406AE75F" w14:textId="77777777" w:rsidR="00F842B3" w:rsidRDefault="007F444F">
            <w:r>
              <w:rPr>
                <w:noProof/>
              </w:rPr>
              <w:drawing>
                <wp:inline distT="0" distB="0" distL="0" distR="0" wp14:anchorId="406AE991" wp14:editId="406AE992">
                  <wp:extent cx="2857500" cy="2085975"/>
                  <wp:effectExtent l="0" t="0" r="0" b="0"/>
                  <wp:docPr id="2128931143" name="Picture 2128931143">
                    <a:extLst xmlns:a="http://schemas.openxmlformats.org/drawingml/2006/main">
                      <a:ext uri="{FF2B5EF4-FFF2-40B4-BE49-F238E27FC236}">
                        <a16:creationId xmlns:a16="http://schemas.microsoft.com/office/drawing/2014/main" id="{7C26A798-D402-499D-80DE-22ACEC0240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2085975"/>
                          </a:xfrm>
                          <a:prstGeom prst="rect">
                            <a:avLst/>
                          </a:prstGeom>
                        </pic:spPr>
                      </pic:pic>
                    </a:graphicData>
                  </a:graphic>
                </wp:inline>
              </w:drawing>
            </w:r>
          </w:p>
          <w:p w14:paraId="406AE760" w14:textId="77777777" w:rsidR="00F842B3" w:rsidRDefault="007F444F">
            <w:pPr>
              <w:spacing w:before="30" w:after="40"/>
            </w:pPr>
            <w:r>
              <w:rPr>
                <w:color w:val="5A6B7B"/>
                <w:sz w:val="14"/>
                <w:szCs w:val="14"/>
              </w:rPr>
              <w:t xml:space="preserve">Note: Series names as per the source data (Acquisition / Buyout / Public listing). Source: </w:t>
            </w:r>
            <w:proofErr w:type="spellStart"/>
            <w:r>
              <w:rPr>
                <w:color w:val="5A6B7B"/>
                <w:sz w:val="14"/>
                <w:szCs w:val="14"/>
              </w:rPr>
              <w:t>PitchBook</w:t>
            </w:r>
            <w:proofErr w:type="spellEnd"/>
            <w:r>
              <w:rPr>
                <w:color w:val="5A6B7B"/>
                <w:sz w:val="14"/>
                <w:szCs w:val="14"/>
              </w:rPr>
              <w:t>; as of 30 Jun 2026.</w:t>
            </w:r>
          </w:p>
        </w:tc>
        <w:tc>
          <w:tcPr>
            <w:tcW w:w="4650" w:type="dxa"/>
            <w:tcMar>
              <w:top w:w="30" w:type="dxa"/>
              <w:left w:w="50" w:type="dxa"/>
              <w:bottom w:w="30" w:type="dxa"/>
              <w:right w:w="50" w:type="dxa"/>
            </w:tcMar>
          </w:tcPr>
          <w:p w14:paraId="406AE761" w14:textId="77777777" w:rsidR="00F842B3" w:rsidRDefault="007F444F">
            <w:pPr>
              <w:keepNext/>
              <w:spacing w:before="60" w:after="30"/>
            </w:pPr>
            <w:r>
              <w:rPr>
                <w:b/>
                <w:bCs/>
                <w:color w:val="16283F"/>
              </w:rPr>
              <w:t>Exhibit 21: Median and average exit size (</w:t>
            </w:r>
            <w:proofErr w:type="spellStart"/>
            <w:r>
              <w:rPr>
                <w:b/>
                <w:bCs/>
                <w:color w:val="16283F"/>
              </w:rPr>
              <w:t>US$m</w:t>
            </w:r>
            <w:proofErr w:type="spellEnd"/>
            <w:r>
              <w:rPr>
                <w:b/>
                <w:bCs/>
                <w:color w:val="16283F"/>
              </w:rPr>
              <w:t>)</w:t>
            </w:r>
          </w:p>
          <w:p w14:paraId="406AE762" w14:textId="77777777" w:rsidR="00F842B3" w:rsidRDefault="007F444F">
            <w:r>
              <w:rPr>
                <w:noProof/>
              </w:rPr>
              <w:drawing>
                <wp:inline distT="0" distB="0" distL="0" distR="0" wp14:anchorId="406AE993" wp14:editId="406AE994">
                  <wp:extent cx="2857500" cy="1971675"/>
                  <wp:effectExtent l="0" t="0" r="0" b="0"/>
                  <wp:docPr id="712649309" name="Picture 712649309">
                    <a:extLst xmlns:a="http://schemas.openxmlformats.org/drawingml/2006/main">
                      <a:ext uri="{FF2B5EF4-FFF2-40B4-BE49-F238E27FC236}">
                        <a16:creationId xmlns:a16="http://schemas.microsoft.com/office/drawing/2014/main" id="{A2BA2CC2-6B9F-4318-AD0A-3858F20A0A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1971675"/>
                          </a:xfrm>
                          <a:prstGeom prst="rect">
                            <a:avLst/>
                          </a:prstGeom>
                        </pic:spPr>
                      </pic:pic>
                    </a:graphicData>
                  </a:graphic>
                </wp:inline>
              </w:drawing>
            </w:r>
          </w:p>
          <w:p w14:paraId="406AE763" w14:textId="77777777" w:rsidR="00F842B3" w:rsidRDefault="007F444F">
            <w:pPr>
              <w:spacing w:before="30" w:after="40"/>
            </w:pPr>
            <w:r>
              <w:rPr>
                <w:color w:val="5A6B7B"/>
                <w:sz w:val="14"/>
                <w:szCs w:val="14"/>
              </w:rPr>
              <w:t xml:space="preserve">Note: Annual. Source: </w:t>
            </w:r>
            <w:proofErr w:type="spellStart"/>
            <w:r>
              <w:rPr>
                <w:color w:val="5A6B7B"/>
                <w:sz w:val="14"/>
                <w:szCs w:val="14"/>
              </w:rPr>
              <w:t>PitchBook</w:t>
            </w:r>
            <w:proofErr w:type="spellEnd"/>
            <w:r>
              <w:rPr>
                <w:color w:val="5A6B7B"/>
                <w:sz w:val="14"/>
                <w:szCs w:val="14"/>
              </w:rPr>
              <w:t>; as of 30 Jun 2026.</w:t>
            </w:r>
          </w:p>
        </w:tc>
      </w:tr>
    </w:tbl>
    <w:p w14:paraId="406AE765" w14:textId="77777777" w:rsidR="00F842B3" w:rsidRDefault="00F842B3">
      <w:pPr>
        <w:spacing w:after="100"/>
      </w:pPr>
    </w:p>
    <w:p w14:paraId="406AE766" w14:textId="77777777" w:rsidR="00F842B3" w:rsidRDefault="007F444F">
      <w:pPr>
        <w:spacing w:after="140" w:line="264" w:lineRule="auto"/>
        <w:jc w:val="both"/>
      </w:pPr>
      <w:r>
        <w:t xml:space="preserve">The </w:t>
      </w:r>
      <w:r>
        <w:rPr>
          <w:b/>
          <w:bCs/>
        </w:rPr>
        <w:t>US PE middle market</w:t>
      </w:r>
      <w:r>
        <w:t xml:space="preserve"> held up better on the way out. MM exit value of </w:t>
      </w:r>
      <w:r>
        <w:rPr>
          <w:b/>
          <w:bCs/>
        </w:rPr>
        <w:t>US$32.0bn</w:t>
      </w:r>
      <w:r>
        <w:t xml:space="preserve"> across </w:t>
      </w:r>
      <w:r>
        <w:rPr>
          <w:b/>
          <w:bCs/>
        </w:rPr>
        <w:t>218</w:t>
      </w:r>
      <w:r>
        <w:t xml:space="preserve"> exits in Q1 2026 was down </w:t>
      </w:r>
      <w:r>
        <w:rPr>
          <w:b/>
          <w:bCs/>
        </w:rPr>
        <w:t>19.0%</w:t>
      </w:r>
      <w:r>
        <w:t xml:space="preserve"> QoQ (from US$39.5bn / 283 in Q4 2025) but up </w:t>
      </w:r>
      <w:r>
        <w:rPr>
          <w:b/>
          <w:bCs/>
        </w:rPr>
        <w:t>13.9%</w:t>
      </w:r>
      <w:r>
        <w:t xml:space="preserve"> YoY (US$28.1bn in Q1 2025), against full-year 2025's </w:t>
      </w:r>
      <w:r>
        <w:rPr>
          <w:b/>
          <w:bCs/>
        </w:rPr>
        <w:t>US$130.3bn</w:t>
      </w:r>
      <w:r>
        <w:t xml:space="preserve"> across </w:t>
      </w:r>
      <w:r>
        <w:rPr>
          <w:b/>
          <w:bCs/>
        </w:rPr>
        <w:t>969</w:t>
      </w:r>
      <w:r>
        <w:t xml:space="preserve"> exits. The middle market supplies the bulk of exit traffic but not of proceeds: </w:t>
      </w:r>
      <w:r>
        <w:rPr>
          <w:b/>
          <w:bCs/>
        </w:rPr>
        <w:t>69.7%</w:t>
      </w:r>
      <w:r>
        <w:t xml:space="preserve"> of all US PE exits YTD by count, yet only </w:t>
      </w:r>
      <w:r>
        <w:rPr>
          <w:b/>
          <w:bCs/>
        </w:rPr>
        <w:t>24.8%</w:t>
      </w:r>
      <w:r>
        <w:t xml:space="preserve"> by value (84.0% and 26.1% respectively in 2025) — mega-exits sit entirely outside the MM band. By route, sponsor-to-sponsor sales carry the market: buyout exits account for </w:t>
      </w:r>
      <w:r>
        <w:rPr>
          <w:b/>
          <w:bCs/>
        </w:rPr>
        <w:t>US$16.1bn (~70%)</w:t>
      </w:r>
      <w:r>
        <w:t xml:space="preserve"> of YTD MM route value versus </w:t>
      </w:r>
      <w:r>
        <w:rPr>
          <w:b/>
          <w:bCs/>
        </w:rPr>
        <w:t>US$7.1bn</w:t>
      </w:r>
      <w:r>
        <w:t xml:space="preserve"> sold to corporates and </w:t>
      </w:r>
      <w:r>
        <w:rPr>
          <w:b/>
          <w:bCs/>
        </w:rPr>
        <w:t>zero</w:t>
      </w:r>
      <w:r>
        <w:t xml:space="preserve"> IPO proceeds — the listing window that reopened for US$1bn+ companies (Exhibit 20) has not reached the middle market.</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6D" w14:textId="77777777">
        <w:tc>
          <w:tcPr>
            <w:tcW w:w="4650" w:type="dxa"/>
            <w:tcMar>
              <w:top w:w="30" w:type="dxa"/>
              <w:left w:w="50" w:type="dxa"/>
              <w:bottom w:w="30" w:type="dxa"/>
              <w:right w:w="50" w:type="dxa"/>
            </w:tcMar>
          </w:tcPr>
          <w:p w14:paraId="406AE767" w14:textId="77777777" w:rsidR="00F842B3" w:rsidRDefault="007F444F">
            <w:pPr>
              <w:keepNext/>
              <w:spacing w:before="60" w:after="30"/>
            </w:pPr>
            <w:r>
              <w:rPr>
                <w:b/>
                <w:bCs/>
                <w:color w:val="16283F"/>
              </w:rPr>
              <w:lastRenderedPageBreak/>
              <w:t>Exhibit 22: US PE middle-market exit value and count by quarter</w:t>
            </w:r>
          </w:p>
          <w:p w14:paraId="406AE768" w14:textId="77777777" w:rsidR="00F842B3" w:rsidRDefault="007F444F">
            <w:r>
              <w:rPr>
                <w:noProof/>
              </w:rPr>
              <w:drawing>
                <wp:inline distT="0" distB="0" distL="0" distR="0" wp14:anchorId="406AE995" wp14:editId="406AE996">
                  <wp:extent cx="2857500" cy="1933575"/>
                  <wp:effectExtent l="0" t="0" r="0" b="0"/>
                  <wp:docPr id="139128511" name="Picture 139128511">
                    <a:extLst xmlns:a="http://schemas.openxmlformats.org/drawingml/2006/main">
                      <a:ext uri="{FF2B5EF4-FFF2-40B4-BE49-F238E27FC236}">
                        <a16:creationId xmlns:a16="http://schemas.microsoft.com/office/drawing/2014/main" id="{08DB452C-F08B-4BE0-B6E5-8CA6D0C057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1933575"/>
                          </a:xfrm>
                          <a:prstGeom prst="rect">
                            <a:avLst/>
                          </a:prstGeom>
                        </pic:spPr>
                      </pic:pic>
                    </a:graphicData>
                  </a:graphic>
                </wp:inline>
              </w:drawing>
            </w:r>
          </w:p>
          <w:p w14:paraId="406AE769" w14:textId="77777777" w:rsidR="00F842B3" w:rsidRDefault="007F444F">
            <w:pPr>
              <w:spacing w:before="30" w:after="40"/>
            </w:pPr>
            <w:r>
              <w:rPr>
                <w:color w:val="5A6B7B"/>
                <w:sz w:val="14"/>
                <w:szCs w:val="14"/>
              </w:rPr>
              <w:t xml:space="preserve">Note: Total exit value and count including </w:t>
            </w:r>
            <w:proofErr w:type="spellStart"/>
            <w:r>
              <w:rPr>
                <w:color w:val="5A6B7B"/>
                <w:sz w:val="14"/>
                <w:szCs w:val="14"/>
              </w:rPr>
              <w:t>PitchBook</w:t>
            </w:r>
            <w:proofErr w:type="spellEnd"/>
            <w:r>
              <w:rPr>
                <w:color w:val="5A6B7B"/>
                <w:sz w:val="14"/>
                <w:szCs w:val="14"/>
              </w:rPr>
              <w:t xml:space="preserve"> estimated figures; count on right scale. Source: </w:t>
            </w:r>
            <w:proofErr w:type="spellStart"/>
            <w:r>
              <w:rPr>
                <w:color w:val="5A6B7B"/>
                <w:sz w:val="14"/>
                <w:szCs w:val="14"/>
              </w:rPr>
              <w:t>PitchBook</w:t>
            </w:r>
            <w:proofErr w:type="spellEnd"/>
            <w:r>
              <w:rPr>
                <w:color w:val="5A6B7B"/>
                <w:sz w:val="14"/>
                <w:szCs w:val="14"/>
              </w:rPr>
              <w:t>; as of 31 Mar 2026.</w:t>
            </w:r>
          </w:p>
        </w:tc>
        <w:tc>
          <w:tcPr>
            <w:tcW w:w="4650" w:type="dxa"/>
            <w:tcMar>
              <w:top w:w="30" w:type="dxa"/>
              <w:left w:w="50" w:type="dxa"/>
              <w:bottom w:w="30" w:type="dxa"/>
              <w:right w:w="50" w:type="dxa"/>
            </w:tcMar>
          </w:tcPr>
          <w:p w14:paraId="406AE76A" w14:textId="77777777" w:rsidR="00F842B3" w:rsidRDefault="007F444F">
            <w:pPr>
              <w:keepNext/>
              <w:spacing w:before="60" w:after="30"/>
            </w:pPr>
            <w:r>
              <w:rPr>
                <w:b/>
                <w:bCs/>
                <w:color w:val="16283F"/>
              </w:rPr>
              <w:t>Exhibit 23: US PE middle-market exit value by route (</w:t>
            </w:r>
            <w:proofErr w:type="spellStart"/>
            <w:r>
              <w:rPr>
                <w:b/>
                <w:bCs/>
                <w:color w:val="16283F"/>
              </w:rPr>
              <w:t>US$bn</w:t>
            </w:r>
            <w:proofErr w:type="spellEnd"/>
            <w:r>
              <w:rPr>
                <w:b/>
                <w:bCs/>
                <w:color w:val="16283F"/>
              </w:rPr>
              <w:t>)</w:t>
            </w:r>
          </w:p>
          <w:p w14:paraId="406AE76B" w14:textId="77777777" w:rsidR="00F842B3" w:rsidRDefault="007F444F">
            <w:r>
              <w:rPr>
                <w:noProof/>
              </w:rPr>
              <w:drawing>
                <wp:inline distT="0" distB="0" distL="0" distR="0" wp14:anchorId="406AE997" wp14:editId="406AE998">
                  <wp:extent cx="2857500" cy="2066925"/>
                  <wp:effectExtent l="0" t="0" r="0" b="0"/>
                  <wp:docPr id="57554719" name="Picture 57554719">
                    <a:extLst xmlns:a="http://schemas.openxmlformats.org/drawingml/2006/main">
                      <a:ext uri="{FF2B5EF4-FFF2-40B4-BE49-F238E27FC236}">
                        <a16:creationId xmlns:a16="http://schemas.microsoft.com/office/drawing/2014/main" id="{A6B70929-6310-4C47-AF16-DE518F5D89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857500" cy="2066925"/>
                          </a:xfrm>
                          <a:prstGeom prst="rect">
                            <a:avLst/>
                          </a:prstGeom>
                        </pic:spPr>
                      </pic:pic>
                    </a:graphicData>
                  </a:graphic>
                </wp:inline>
              </w:drawing>
            </w:r>
          </w:p>
          <w:p w14:paraId="406AE76C" w14:textId="77777777" w:rsidR="00F842B3" w:rsidRDefault="007F444F">
            <w:pPr>
              <w:spacing w:before="30" w:after="40"/>
            </w:pPr>
            <w:r>
              <w:rPr>
                <w:color w:val="5A6B7B"/>
                <w:sz w:val="14"/>
                <w:szCs w:val="14"/>
              </w:rPr>
              <w:t xml:space="preserve">Note: Annual; 2026* is YTD (Q1 only). Series names as per the source data (corporate acquisition / buyout / IPO). Source: </w:t>
            </w:r>
            <w:proofErr w:type="spellStart"/>
            <w:r>
              <w:rPr>
                <w:color w:val="5A6B7B"/>
                <w:sz w:val="14"/>
                <w:szCs w:val="14"/>
              </w:rPr>
              <w:t>PitchBook</w:t>
            </w:r>
            <w:proofErr w:type="spellEnd"/>
            <w:r>
              <w:rPr>
                <w:color w:val="5A6B7B"/>
                <w:sz w:val="14"/>
                <w:szCs w:val="14"/>
              </w:rPr>
              <w:t>; as of 31 Mar 2026.</w:t>
            </w:r>
          </w:p>
        </w:tc>
      </w:tr>
    </w:tbl>
    <w:p w14:paraId="406AE76E" w14:textId="77777777" w:rsidR="00F842B3" w:rsidRDefault="00F842B3">
      <w:pPr>
        <w:spacing w:after="100"/>
      </w:pPr>
    </w:p>
    <w:p w14:paraId="406AE76F" w14:textId="77777777" w:rsidR="00F842B3" w:rsidRDefault="007F444F">
      <w:pPr>
        <w:pStyle w:val="Heading2"/>
        <w:spacing w:before="200" w:after="100"/>
      </w:pPr>
      <w:r>
        <w:t>4.2 Holding periods and inventory</w:t>
      </w:r>
    </w:p>
    <w:p w14:paraId="406AE770" w14:textId="77777777" w:rsidR="00F842B3" w:rsidRDefault="007F444F">
      <w:pPr>
        <w:spacing w:after="140" w:line="264" w:lineRule="auto"/>
        <w:jc w:val="both"/>
      </w:pPr>
      <w:r>
        <w:t xml:space="preserve">The backlog kept building: </w:t>
      </w:r>
      <w:r>
        <w:rPr>
          <w:b/>
          <w:bCs/>
        </w:rPr>
        <w:t>13,509</w:t>
      </w:r>
      <w:r>
        <w:t xml:space="preserve"> sponsor-held companies, of which </w:t>
      </w:r>
      <w:r>
        <w:rPr>
          <w:b/>
          <w:bCs/>
        </w:rPr>
        <w:t>1,506 (11%)</w:t>
      </w:r>
      <w:r>
        <w:t xml:space="preserve"> have been held nine years or longer and </w:t>
      </w:r>
      <w:r>
        <w:rPr>
          <w:b/>
          <w:bCs/>
        </w:rPr>
        <w:t>3,905 (29%)</w:t>
      </w:r>
      <w:r>
        <w:t xml:space="preserve"> six years or longer. Median exited-deal hold time is </w:t>
      </w:r>
      <w:r>
        <w:rPr>
          <w:b/>
          <w:bCs/>
        </w:rPr>
        <w:t>5.5 years</w:t>
      </w:r>
      <w:r>
        <w:t xml:space="preserve">, and the median company still in portfolio has been held </w:t>
      </w:r>
      <w:r>
        <w:rPr>
          <w:b/>
          <w:bCs/>
        </w:rPr>
        <w:t>~4.2 years</w:t>
      </w:r>
      <w:r>
        <w:t xml:space="preserve"> and rising — the age pyramid guarantees exit supply, the question is at what price. GP-led secondaries, the pressure valve, ran at </w:t>
      </w:r>
      <w:r>
        <w:rPr>
          <w:b/>
          <w:bCs/>
        </w:rPr>
        <w:t>US$23bn</w:t>
      </w:r>
      <w:r>
        <w:t xml:space="preserve"> YTD through May after a record </w:t>
      </w:r>
      <w:r>
        <w:rPr>
          <w:b/>
          <w:bCs/>
        </w:rPr>
        <w:t>~US$98bn</w:t>
      </w:r>
      <w:r>
        <w:t xml:space="preserve"> in 2025 — below last year's pace, so little of the backlog is reaching liquidity through that route either.</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77" w14:textId="77777777">
        <w:tc>
          <w:tcPr>
            <w:tcW w:w="4650" w:type="dxa"/>
            <w:tcMar>
              <w:top w:w="30" w:type="dxa"/>
              <w:left w:w="50" w:type="dxa"/>
              <w:bottom w:w="30" w:type="dxa"/>
              <w:right w:w="50" w:type="dxa"/>
            </w:tcMar>
          </w:tcPr>
          <w:p w14:paraId="406AE771" w14:textId="77777777" w:rsidR="00F842B3" w:rsidRDefault="007F444F">
            <w:pPr>
              <w:keepNext/>
              <w:spacing w:before="60" w:after="30"/>
            </w:pPr>
            <w:r>
              <w:rPr>
                <w:b/>
                <w:bCs/>
                <w:color w:val="16283F"/>
              </w:rPr>
              <w:t>Exhibit 24: Median PE holding period (years)</w:t>
            </w:r>
          </w:p>
          <w:p w14:paraId="406AE772" w14:textId="77777777" w:rsidR="00F842B3" w:rsidRDefault="007F444F">
            <w:r>
              <w:rPr>
                <w:noProof/>
              </w:rPr>
              <w:drawing>
                <wp:inline distT="0" distB="0" distL="0" distR="0" wp14:anchorId="406AE999" wp14:editId="406AE99A">
                  <wp:extent cx="2857500" cy="2162175"/>
                  <wp:effectExtent l="0" t="0" r="0" b="0"/>
                  <wp:docPr id="135265413" name="Picture 135265413">
                    <a:extLst xmlns:a="http://schemas.openxmlformats.org/drawingml/2006/main">
                      <a:ext uri="{FF2B5EF4-FFF2-40B4-BE49-F238E27FC236}">
                        <a16:creationId xmlns:a16="http://schemas.microsoft.com/office/drawing/2014/main" id="{423E0118-BEE3-433F-B26F-AF3EA4E14B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2162175"/>
                          </a:xfrm>
                          <a:prstGeom prst="rect">
                            <a:avLst/>
                          </a:prstGeom>
                        </pic:spPr>
                      </pic:pic>
                    </a:graphicData>
                  </a:graphic>
                </wp:inline>
              </w:drawing>
            </w:r>
          </w:p>
          <w:p w14:paraId="406AE773" w14:textId="77777777" w:rsidR="00F842B3" w:rsidRDefault="007F444F">
            <w:pPr>
              <w:spacing w:before="30" w:after="40"/>
            </w:pPr>
            <w:r>
              <w:rPr>
                <w:color w:val="5A6B7B"/>
                <w:sz w:val="14"/>
                <w:szCs w:val="14"/>
              </w:rPr>
              <w:t xml:space="preserve">Note: Source: </w:t>
            </w:r>
            <w:proofErr w:type="spellStart"/>
            <w:r>
              <w:rPr>
                <w:color w:val="5A6B7B"/>
                <w:sz w:val="14"/>
                <w:szCs w:val="14"/>
              </w:rPr>
              <w:t>PitchBook</w:t>
            </w:r>
            <w:proofErr w:type="spellEnd"/>
            <w:r>
              <w:rPr>
                <w:color w:val="5A6B7B"/>
                <w:sz w:val="14"/>
                <w:szCs w:val="14"/>
              </w:rPr>
              <w:t>; as of 30 Jun 2026.</w:t>
            </w:r>
          </w:p>
        </w:tc>
        <w:tc>
          <w:tcPr>
            <w:tcW w:w="4650" w:type="dxa"/>
            <w:tcMar>
              <w:top w:w="30" w:type="dxa"/>
              <w:left w:w="50" w:type="dxa"/>
              <w:bottom w:w="30" w:type="dxa"/>
              <w:right w:w="50" w:type="dxa"/>
            </w:tcMar>
          </w:tcPr>
          <w:p w14:paraId="406AE774" w14:textId="77777777" w:rsidR="00F842B3" w:rsidRDefault="007F444F">
            <w:pPr>
              <w:keepNext/>
              <w:spacing w:before="60" w:after="30"/>
            </w:pPr>
            <w:r>
              <w:rPr>
                <w:b/>
                <w:bCs/>
                <w:color w:val="16283F"/>
              </w:rPr>
              <w:t>Exhibit 25: PE company inventory by years held</w:t>
            </w:r>
          </w:p>
          <w:p w14:paraId="406AE775" w14:textId="77777777" w:rsidR="00F842B3" w:rsidRDefault="007F444F">
            <w:r>
              <w:rPr>
                <w:noProof/>
              </w:rPr>
              <w:drawing>
                <wp:inline distT="0" distB="0" distL="0" distR="0" wp14:anchorId="406AE99B" wp14:editId="406AE99C">
                  <wp:extent cx="2857500" cy="2257425"/>
                  <wp:effectExtent l="0" t="0" r="0" b="0"/>
                  <wp:docPr id="515099625" name="Picture 515099625">
                    <a:extLst xmlns:a="http://schemas.openxmlformats.org/drawingml/2006/main">
                      <a:ext uri="{FF2B5EF4-FFF2-40B4-BE49-F238E27FC236}">
                        <a16:creationId xmlns:a16="http://schemas.microsoft.com/office/drawing/2014/main" id="{B8AAD681-3253-4B22-9951-C8C8FFAB7B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2257425"/>
                          </a:xfrm>
                          <a:prstGeom prst="rect">
                            <a:avLst/>
                          </a:prstGeom>
                        </pic:spPr>
                      </pic:pic>
                    </a:graphicData>
                  </a:graphic>
                </wp:inline>
              </w:drawing>
            </w:r>
          </w:p>
          <w:p w14:paraId="406AE776" w14:textId="77777777" w:rsidR="00F842B3" w:rsidRDefault="007F444F">
            <w:pPr>
              <w:spacing w:before="30" w:after="40"/>
            </w:pPr>
            <w:r>
              <w:rPr>
                <w:color w:val="5A6B7B"/>
                <w:sz w:val="14"/>
                <w:szCs w:val="14"/>
              </w:rPr>
              <w:t xml:space="preserve">Note: 13,509 companies in total. Source: </w:t>
            </w:r>
            <w:proofErr w:type="spellStart"/>
            <w:r>
              <w:rPr>
                <w:color w:val="5A6B7B"/>
                <w:sz w:val="14"/>
                <w:szCs w:val="14"/>
              </w:rPr>
              <w:t>PitchBook</w:t>
            </w:r>
            <w:proofErr w:type="spellEnd"/>
            <w:r>
              <w:rPr>
                <w:color w:val="5A6B7B"/>
                <w:sz w:val="14"/>
                <w:szCs w:val="14"/>
              </w:rPr>
              <w:t>; as of 30 Jun 2026.</w:t>
            </w:r>
          </w:p>
        </w:tc>
      </w:tr>
    </w:tbl>
    <w:p w14:paraId="406AE778" w14:textId="77777777" w:rsidR="00F842B3" w:rsidRDefault="00F842B3">
      <w:pPr>
        <w:spacing w:after="100"/>
      </w:pP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7D" w14:textId="77777777">
        <w:tc>
          <w:tcPr>
            <w:tcW w:w="4650" w:type="dxa"/>
            <w:tcMar>
              <w:top w:w="30" w:type="dxa"/>
              <w:left w:w="50" w:type="dxa"/>
              <w:bottom w:w="30" w:type="dxa"/>
              <w:right w:w="50" w:type="dxa"/>
            </w:tcMar>
          </w:tcPr>
          <w:p w14:paraId="406AE779" w14:textId="77777777" w:rsidR="00F842B3" w:rsidRDefault="007F444F">
            <w:pPr>
              <w:keepNext/>
              <w:spacing w:before="60" w:after="30"/>
            </w:pPr>
            <w:r>
              <w:rPr>
                <w:b/>
                <w:bCs/>
                <w:color w:val="16283F"/>
              </w:rPr>
              <w:lastRenderedPageBreak/>
              <w:t>Exhibit 26: Global GP-led secondary exit value (</w:t>
            </w:r>
            <w:proofErr w:type="spellStart"/>
            <w:r>
              <w:rPr>
                <w:b/>
                <w:bCs/>
                <w:color w:val="16283F"/>
              </w:rPr>
              <w:t>US$bn</w:t>
            </w:r>
            <w:proofErr w:type="spellEnd"/>
            <w:r>
              <w:rPr>
                <w:b/>
                <w:bCs/>
                <w:color w:val="16283F"/>
              </w:rPr>
              <w:t>)</w:t>
            </w:r>
          </w:p>
          <w:p w14:paraId="406AE77A" w14:textId="77777777" w:rsidR="00F842B3" w:rsidRDefault="007F444F">
            <w:r>
              <w:rPr>
                <w:noProof/>
              </w:rPr>
              <w:drawing>
                <wp:inline distT="0" distB="0" distL="0" distR="0" wp14:anchorId="406AE99D" wp14:editId="406AE99E">
                  <wp:extent cx="2857500" cy="2076450"/>
                  <wp:effectExtent l="0" t="0" r="0" b="0"/>
                  <wp:docPr id="1309368645" name="Picture 1309368645">
                    <a:extLst xmlns:a="http://schemas.openxmlformats.org/drawingml/2006/main">
                      <a:ext uri="{FF2B5EF4-FFF2-40B4-BE49-F238E27FC236}">
                        <a16:creationId xmlns:a16="http://schemas.microsoft.com/office/drawing/2014/main" id="{1ABE2EB8-79F8-49B6-97DA-9658ACE14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2076450"/>
                          </a:xfrm>
                          <a:prstGeom prst="rect">
                            <a:avLst/>
                          </a:prstGeom>
                        </pic:spPr>
                      </pic:pic>
                    </a:graphicData>
                  </a:graphic>
                </wp:inline>
              </w:drawing>
            </w:r>
          </w:p>
          <w:p w14:paraId="406AE77B" w14:textId="77777777" w:rsidR="00F842B3" w:rsidRDefault="007F444F">
            <w:pPr>
              <w:spacing w:before="30" w:after="40"/>
            </w:pPr>
            <w:r>
              <w:rPr>
                <w:color w:val="5A6B7B"/>
                <w:sz w:val="14"/>
                <w:szCs w:val="14"/>
              </w:rPr>
              <w:t xml:space="preserve">Note: 2026* is YTD through May. Source: </w:t>
            </w:r>
            <w:proofErr w:type="spellStart"/>
            <w:r>
              <w:rPr>
                <w:color w:val="5A6B7B"/>
                <w:sz w:val="14"/>
                <w:szCs w:val="14"/>
              </w:rPr>
              <w:t>PitchBook</w:t>
            </w:r>
            <w:proofErr w:type="spellEnd"/>
            <w:r>
              <w:rPr>
                <w:color w:val="5A6B7B"/>
                <w:sz w:val="14"/>
                <w:szCs w:val="14"/>
              </w:rPr>
              <w:t>; as of 30 May 2026.</w:t>
            </w:r>
          </w:p>
        </w:tc>
        <w:tc>
          <w:tcPr>
            <w:tcW w:w="4650" w:type="dxa"/>
            <w:tcMar>
              <w:top w:w="30" w:type="dxa"/>
              <w:left w:w="50" w:type="dxa"/>
              <w:bottom w:w="30" w:type="dxa"/>
              <w:right w:w="50" w:type="dxa"/>
            </w:tcMar>
          </w:tcPr>
          <w:p w14:paraId="406AE77C" w14:textId="77777777" w:rsidR="00F842B3" w:rsidRDefault="00F842B3"/>
        </w:tc>
      </w:tr>
    </w:tbl>
    <w:p w14:paraId="406AE77E" w14:textId="77777777" w:rsidR="00F842B3" w:rsidRDefault="00F842B3">
      <w:pPr>
        <w:spacing w:after="100"/>
      </w:pPr>
    </w:p>
    <w:p w14:paraId="406AE77F" w14:textId="77777777" w:rsidR="00F842B3" w:rsidRDefault="007F444F">
      <w:pPr>
        <w:pStyle w:val="Heading1"/>
        <w:spacing w:before="280" w:after="120"/>
      </w:pPr>
      <w:r>
        <w:t>Fundraising &amp; Dry Powder</w:t>
      </w:r>
    </w:p>
    <w:p w14:paraId="406AE780" w14:textId="77777777" w:rsidR="00F842B3" w:rsidRDefault="007F444F">
      <w:pPr>
        <w:pStyle w:val="Heading2"/>
        <w:spacing w:before="200" w:after="100"/>
      </w:pPr>
      <w:r>
        <w:t>5.1 Fundraising</w:t>
      </w:r>
    </w:p>
    <w:p w14:paraId="406AE781" w14:textId="77777777" w:rsidR="00F842B3" w:rsidRDefault="007F444F">
      <w:pPr>
        <w:spacing w:after="140" w:line="264" w:lineRule="auto"/>
        <w:jc w:val="both"/>
      </w:pPr>
      <w:r>
        <w:t xml:space="preserve">The fundraising market is clearing only at the top. YTD capital raised of </w:t>
      </w:r>
      <w:r>
        <w:rPr>
          <w:b/>
          <w:bCs/>
        </w:rPr>
        <w:t>US$159.6bn</w:t>
      </w:r>
      <w:r>
        <w:t xml:space="preserve"> across </w:t>
      </w:r>
      <w:r>
        <w:rPr>
          <w:b/>
          <w:bCs/>
        </w:rPr>
        <w:t>223</w:t>
      </w:r>
      <w:r>
        <w:t xml:space="preserve"> funds is on pace with 2025's muted </w:t>
      </w:r>
      <w:r>
        <w:rPr>
          <w:b/>
          <w:bCs/>
        </w:rPr>
        <w:t>US$308.0bn</w:t>
      </w:r>
      <w:r>
        <w:t xml:space="preserve">, but fund counts have fallen dramatically and commitments flow overwhelmingly to the largest managers: funds under </w:t>
      </w:r>
      <w:r>
        <w:rPr>
          <w:b/>
          <w:bCs/>
        </w:rPr>
        <w:t>US$1bn</w:t>
      </w:r>
      <w:r>
        <w:t xml:space="preserve"> have drawn just </w:t>
      </w:r>
      <w:r>
        <w:rPr>
          <w:b/>
          <w:bCs/>
        </w:rPr>
        <w:t>16.7%</w:t>
      </w:r>
      <w:r>
        <w:t xml:space="preserve"> of 2026 commitments, and first-time and emerging managers are squeezed hardest. The clearest growth is outside the closed-end machine — US evergreen PE assets nearly doubled over the past year to </w:t>
      </w:r>
      <w:r>
        <w:rPr>
          <w:b/>
          <w:bCs/>
        </w:rPr>
        <w:t>US$99bn</w:t>
      </w:r>
      <w:r>
        <w:t xml:space="preserve">. Median step-ups compressed to </w:t>
      </w:r>
      <w:r>
        <w:rPr>
          <w:b/>
          <w:bCs/>
        </w:rPr>
        <w:t>1.44x</w:t>
      </w:r>
      <w:r>
        <w:t xml:space="preserve"> for both buyout and all PE funds. Implication for </w:t>
      </w:r>
      <w:proofErr w:type="spellStart"/>
      <w:r>
        <w:t>Junson</w:t>
      </w:r>
      <w:proofErr w:type="spellEnd"/>
      <w:r>
        <w:t>: LP-</w:t>
      </w:r>
      <w:proofErr w:type="spellStart"/>
      <w:r>
        <w:t>favorable</w:t>
      </w:r>
      <w:proofErr w:type="spellEnd"/>
      <w:r>
        <w:t xml:space="preserve"> terms and co-invest access are most negotiable in the sub-US$1bn cohort, where the capital shortage is acute.</w:t>
      </w:r>
    </w:p>
    <w:p w14:paraId="406AE782" w14:textId="77777777" w:rsidR="00F842B3" w:rsidRDefault="007F444F">
      <w:pPr>
        <w:keepNext/>
        <w:spacing w:before="60" w:after="30"/>
      </w:pPr>
      <w:r>
        <w:rPr>
          <w:b/>
          <w:bCs/>
          <w:color w:val="16283F"/>
        </w:rPr>
        <w:t>Exhibit 27: US PE fundraising: capital raised and fund count (2026* = YTD)</w:t>
      </w:r>
    </w:p>
    <w:p w14:paraId="406AE783" w14:textId="77777777" w:rsidR="00F842B3" w:rsidRDefault="007F444F">
      <w:r>
        <w:rPr>
          <w:noProof/>
        </w:rPr>
        <w:drawing>
          <wp:inline distT="0" distB="0" distL="0" distR="0" wp14:anchorId="406AE99F" wp14:editId="406AE9A0">
            <wp:extent cx="6143625" cy="2733675"/>
            <wp:effectExtent l="0" t="0" r="0" b="0"/>
            <wp:docPr id="195140534" name="Picture 195140534">
              <a:extLst xmlns:a="http://schemas.openxmlformats.org/drawingml/2006/main">
                <a:ext uri="{FF2B5EF4-FFF2-40B4-BE49-F238E27FC236}">
                  <a16:creationId xmlns:a16="http://schemas.microsoft.com/office/drawing/2014/main" id="{DCFFC844-2F39-4AF3-B3DE-6139C92615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43625" cy="2733675"/>
                    </a:xfrm>
                    <a:prstGeom prst="rect">
                      <a:avLst/>
                    </a:prstGeom>
                  </pic:spPr>
                </pic:pic>
              </a:graphicData>
            </a:graphic>
          </wp:inline>
        </w:drawing>
      </w:r>
    </w:p>
    <w:p w14:paraId="406AE784" w14:textId="77777777" w:rsidR="00F842B3" w:rsidRDefault="007F444F">
      <w:pPr>
        <w:spacing w:before="30" w:after="180"/>
      </w:pPr>
      <w:r>
        <w:rPr>
          <w:color w:val="5A6B7B"/>
          <w:sz w:val="14"/>
          <w:szCs w:val="14"/>
        </w:rPr>
        <w:t xml:space="preserve">Note: Equity capital counted at final close; 2026 understates the final total because of late-reporting funds. Fund count on right scale. Source: </w:t>
      </w:r>
      <w:proofErr w:type="spellStart"/>
      <w:r>
        <w:rPr>
          <w:color w:val="5A6B7B"/>
          <w:sz w:val="14"/>
          <w:szCs w:val="14"/>
        </w:rPr>
        <w:t>PitchBook</w:t>
      </w:r>
      <w:proofErr w:type="spellEnd"/>
      <w:r>
        <w:rPr>
          <w:color w:val="5A6B7B"/>
          <w:sz w:val="14"/>
          <w:szCs w:val="14"/>
        </w:rPr>
        <w:t>; as of 30 Jun 2026.</w:t>
      </w:r>
    </w:p>
    <w:p w14:paraId="406AE785" w14:textId="77777777" w:rsidR="00F842B3" w:rsidRDefault="007F444F">
      <w:pPr>
        <w:spacing w:after="140" w:line="264" w:lineRule="auto"/>
        <w:jc w:val="both"/>
      </w:pPr>
      <w:r>
        <w:t xml:space="preserve">The </w:t>
      </w:r>
      <w:r>
        <w:rPr>
          <w:b/>
          <w:bCs/>
        </w:rPr>
        <w:t>US PE middle market</w:t>
      </w:r>
      <w:r>
        <w:t xml:space="preserve"> shows the same shape one notch down: MM fundraising reached </w:t>
      </w:r>
      <w:r>
        <w:rPr>
          <w:b/>
          <w:bCs/>
        </w:rPr>
        <w:t>US$102.1bn</w:t>
      </w:r>
      <w:r>
        <w:t xml:space="preserve"> across </w:t>
      </w:r>
      <w:r>
        <w:rPr>
          <w:b/>
          <w:bCs/>
        </w:rPr>
        <w:t>130</w:t>
      </w:r>
      <w:r>
        <w:t xml:space="preserve"> funds in 2025 and stands at </w:t>
      </w:r>
      <w:r>
        <w:rPr>
          <w:b/>
          <w:bCs/>
        </w:rPr>
        <w:t>US$33.4bn</w:t>
      </w:r>
      <w:r>
        <w:t xml:space="preserve"> across </w:t>
      </w:r>
      <w:r>
        <w:rPr>
          <w:b/>
          <w:bCs/>
        </w:rPr>
        <w:t>38</w:t>
      </w:r>
      <w:r>
        <w:t xml:space="preserve"> funds YTD 2026 (Q1 only, as of 31 Mar 2026). The concentration signature is clearest in fund sizes for </w:t>
      </w:r>
      <w:r>
        <w:rPr>
          <w:b/>
          <w:bCs/>
        </w:rPr>
        <w:t>US PE overall</w:t>
      </w:r>
      <w:r>
        <w:t xml:space="preserve">: the average fund closed YTD is </w:t>
      </w:r>
      <w:r>
        <w:rPr>
          <w:b/>
          <w:bCs/>
        </w:rPr>
        <w:t>~US$753m</w:t>
      </w:r>
      <w:r>
        <w:t xml:space="preserve"> against a median of just </w:t>
      </w:r>
      <w:r>
        <w:rPr>
          <w:b/>
          <w:bCs/>
        </w:rPr>
        <w:t>~US$75m</w:t>
      </w:r>
      <w:r>
        <w:t xml:space="preserve"> — a 10x gap that widens every time a </w:t>
      </w:r>
      <w:proofErr w:type="spellStart"/>
      <w:r>
        <w:t>megafund</w:t>
      </w:r>
      <w:proofErr w:type="spellEnd"/>
      <w:r>
        <w:t xml:space="preserve"> closes while small funds stall. And with </w:t>
      </w:r>
      <w:proofErr w:type="spellStart"/>
      <w:r>
        <w:t>megafund</w:t>
      </w:r>
      <w:proofErr w:type="spellEnd"/>
      <w:r>
        <w:t xml:space="preserve"> closes largely absent from the Q1 tape, </w:t>
      </w:r>
      <w:r>
        <w:rPr>
          <w:b/>
          <w:bCs/>
        </w:rPr>
        <w:t>middle-market buyout capital spiked to 73% of all US PE buyout capital raised YTD</w:t>
      </w:r>
      <w:r>
        <w:t xml:space="preserve"> — against 46% in 2025 — a share that will normalise as large closes land, but which shows the MM fundraising engine still turning.</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8C" w14:textId="77777777">
        <w:tc>
          <w:tcPr>
            <w:tcW w:w="4650" w:type="dxa"/>
            <w:tcMar>
              <w:top w:w="30" w:type="dxa"/>
              <w:left w:w="50" w:type="dxa"/>
              <w:bottom w:w="30" w:type="dxa"/>
              <w:right w:w="50" w:type="dxa"/>
            </w:tcMar>
          </w:tcPr>
          <w:p w14:paraId="406AE786" w14:textId="77777777" w:rsidR="00F842B3" w:rsidRDefault="007F444F">
            <w:pPr>
              <w:keepNext/>
              <w:spacing w:before="60" w:after="30"/>
            </w:pPr>
            <w:r>
              <w:rPr>
                <w:b/>
                <w:bCs/>
                <w:color w:val="16283F"/>
              </w:rPr>
              <w:lastRenderedPageBreak/>
              <w:t>Exhibit 28: US PE middle-market fundraising: capital raised and fund count</w:t>
            </w:r>
          </w:p>
          <w:p w14:paraId="406AE787" w14:textId="77777777" w:rsidR="00F842B3" w:rsidRDefault="007F444F">
            <w:r>
              <w:rPr>
                <w:noProof/>
              </w:rPr>
              <w:drawing>
                <wp:inline distT="0" distB="0" distL="0" distR="0" wp14:anchorId="406AE9A1" wp14:editId="406AE9A2">
                  <wp:extent cx="2857500" cy="1895475"/>
                  <wp:effectExtent l="0" t="0" r="0" b="0"/>
                  <wp:docPr id="1537439149" name="Picture 1537439149">
                    <a:extLst xmlns:a="http://schemas.openxmlformats.org/drawingml/2006/main">
                      <a:ext uri="{FF2B5EF4-FFF2-40B4-BE49-F238E27FC236}">
                        <a16:creationId xmlns:a16="http://schemas.microsoft.com/office/drawing/2014/main" id="{22F22ED2-BBCD-4E3E-865F-EA9E135FAA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1895475"/>
                          </a:xfrm>
                          <a:prstGeom prst="rect">
                            <a:avLst/>
                          </a:prstGeom>
                        </pic:spPr>
                      </pic:pic>
                    </a:graphicData>
                  </a:graphic>
                </wp:inline>
              </w:drawing>
            </w:r>
          </w:p>
          <w:p w14:paraId="406AE788" w14:textId="77777777" w:rsidR="00F842B3" w:rsidRDefault="007F444F">
            <w:pPr>
              <w:spacing w:before="30" w:after="40"/>
            </w:pPr>
            <w:r>
              <w:rPr>
                <w:color w:val="5A6B7B"/>
                <w:sz w:val="14"/>
                <w:szCs w:val="14"/>
              </w:rPr>
              <w:t xml:space="preserve">Note: US PE middle-market funds only; 2026* = Q1 YTD. Source: </w:t>
            </w:r>
            <w:proofErr w:type="spellStart"/>
            <w:r>
              <w:rPr>
                <w:color w:val="5A6B7B"/>
                <w:sz w:val="14"/>
                <w:szCs w:val="14"/>
              </w:rPr>
              <w:t>PitchBook</w:t>
            </w:r>
            <w:proofErr w:type="spellEnd"/>
            <w:r>
              <w:rPr>
                <w:color w:val="5A6B7B"/>
                <w:sz w:val="14"/>
                <w:szCs w:val="14"/>
              </w:rPr>
              <w:t>; as of 31 Mar 2026.</w:t>
            </w:r>
          </w:p>
        </w:tc>
        <w:tc>
          <w:tcPr>
            <w:tcW w:w="4650" w:type="dxa"/>
            <w:tcMar>
              <w:top w:w="30" w:type="dxa"/>
              <w:left w:w="50" w:type="dxa"/>
              <w:bottom w:w="30" w:type="dxa"/>
              <w:right w:w="50" w:type="dxa"/>
            </w:tcMar>
          </w:tcPr>
          <w:p w14:paraId="406AE789" w14:textId="77777777" w:rsidR="00F842B3" w:rsidRDefault="007F444F">
            <w:pPr>
              <w:keepNext/>
              <w:spacing w:before="60" w:after="30"/>
            </w:pPr>
            <w:r>
              <w:rPr>
                <w:b/>
                <w:bCs/>
                <w:color w:val="16283F"/>
              </w:rPr>
              <w:t>Exhibit 29: US PE median and average fund size (</w:t>
            </w:r>
            <w:proofErr w:type="spellStart"/>
            <w:r>
              <w:rPr>
                <w:b/>
                <w:bCs/>
                <w:color w:val="16283F"/>
              </w:rPr>
              <w:t>US$m</w:t>
            </w:r>
            <w:proofErr w:type="spellEnd"/>
            <w:r>
              <w:rPr>
                <w:b/>
                <w:bCs/>
                <w:color w:val="16283F"/>
              </w:rPr>
              <w:t>)</w:t>
            </w:r>
          </w:p>
          <w:p w14:paraId="406AE78A" w14:textId="77777777" w:rsidR="00F842B3" w:rsidRDefault="007F444F">
            <w:r>
              <w:rPr>
                <w:noProof/>
              </w:rPr>
              <w:drawing>
                <wp:inline distT="0" distB="0" distL="0" distR="0" wp14:anchorId="406AE9A3" wp14:editId="406AE9A4">
                  <wp:extent cx="2857500" cy="2057400"/>
                  <wp:effectExtent l="0" t="0" r="0" b="0"/>
                  <wp:docPr id="258038710" name="Picture 258038710">
                    <a:extLst xmlns:a="http://schemas.openxmlformats.org/drawingml/2006/main">
                      <a:ext uri="{FF2B5EF4-FFF2-40B4-BE49-F238E27FC236}">
                        <a16:creationId xmlns:a16="http://schemas.microsoft.com/office/drawing/2014/main" id="{75F49DA6-DD03-43AF-AACC-82A48386F2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857500" cy="2057400"/>
                          </a:xfrm>
                          <a:prstGeom prst="rect">
                            <a:avLst/>
                          </a:prstGeom>
                        </pic:spPr>
                      </pic:pic>
                    </a:graphicData>
                  </a:graphic>
                </wp:inline>
              </w:drawing>
            </w:r>
          </w:p>
          <w:p w14:paraId="406AE78B" w14:textId="77777777" w:rsidR="00F842B3" w:rsidRDefault="007F444F">
            <w:pPr>
              <w:spacing w:before="30" w:after="40"/>
            </w:pPr>
            <w:r>
              <w:rPr>
                <w:color w:val="5A6B7B"/>
                <w:sz w:val="14"/>
                <w:szCs w:val="14"/>
              </w:rPr>
              <w:t xml:space="preserve">Note: All US PE funds (not middle-market only); 2026* = YTD. Source: </w:t>
            </w:r>
            <w:proofErr w:type="spellStart"/>
            <w:r>
              <w:rPr>
                <w:color w:val="5A6B7B"/>
                <w:sz w:val="14"/>
                <w:szCs w:val="14"/>
              </w:rPr>
              <w:t>PitchBook</w:t>
            </w:r>
            <w:proofErr w:type="spellEnd"/>
            <w:r>
              <w:rPr>
                <w:color w:val="5A6B7B"/>
                <w:sz w:val="14"/>
                <w:szCs w:val="14"/>
              </w:rPr>
              <w:t>; as of 30 Jun 2026.</w:t>
            </w:r>
          </w:p>
        </w:tc>
      </w:tr>
    </w:tbl>
    <w:p w14:paraId="406AE78D" w14:textId="77777777" w:rsidR="00F842B3" w:rsidRDefault="00F842B3">
      <w:pPr>
        <w:spacing w:after="100"/>
      </w:pP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94" w14:textId="77777777">
        <w:tc>
          <w:tcPr>
            <w:tcW w:w="4650" w:type="dxa"/>
            <w:tcMar>
              <w:top w:w="30" w:type="dxa"/>
              <w:left w:w="50" w:type="dxa"/>
              <w:bottom w:w="30" w:type="dxa"/>
              <w:right w:w="50" w:type="dxa"/>
            </w:tcMar>
          </w:tcPr>
          <w:p w14:paraId="406AE78E" w14:textId="77777777" w:rsidR="00F842B3" w:rsidRDefault="007F444F">
            <w:pPr>
              <w:keepNext/>
              <w:spacing w:before="60" w:after="30"/>
            </w:pPr>
            <w:r>
              <w:rPr>
                <w:b/>
                <w:bCs/>
                <w:color w:val="16283F"/>
              </w:rPr>
              <w:t>Exhibit 30: US middle-market buyout capital raised as a share of all US PE buyout capital raised</w:t>
            </w:r>
          </w:p>
          <w:p w14:paraId="406AE78F" w14:textId="77777777" w:rsidR="00F842B3" w:rsidRDefault="007F444F">
            <w:r>
              <w:rPr>
                <w:noProof/>
              </w:rPr>
              <w:drawing>
                <wp:inline distT="0" distB="0" distL="0" distR="0" wp14:anchorId="406AE9A5" wp14:editId="406AE9A6">
                  <wp:extent cx="2857500" cy="2114550"/>
                  <wp:effectExtent l="0" t="0" r="0" b="0"/>
                  <wp:docPr id="180387290" name="Picture 180387290">
                    <a:extLst xmlns:a="http://schemas.openxmlformats.org/drawingml/2006/main">
                      <a:ext uri="{FF2B5EF4-FFF2-40B4-BE49-F238E27FC236}">
                        <a16:creationId xmlns:a16="http://schemas.microsoft.com/office/drawing/2014/main" id="{77BBA094-0641-4437-B088-C8865EE30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2114550"/>
                          </a:xfrm>
                          <a:prstGeom prst="rect">
                            <a:avLst/>
                          </a:prstGeom>
                        </pic:spPr>
                      </pic:pic>
                    </a:graphicData>
                  </a:graphic>
                </wp:inline>
              </w:drawing>
            </w:r>
          </w:p>
          <w:p w14:paraId="406AE790" w14:textId="77777777" w:rsidR="00F842B3" w:rsidRDefault="007F444F">
            <w:pPr>
              <w:spacing w:before="30" w:after="40"/>
            </w:pPr>
            <w:r>
              <w:rPr>
                <w:color w:val="5A6B7B"/>
                <w:sz w:val="14"/>
                <w:szCs w:val="14"/>
              </w:rPr>
              <w:t xml:space="preserve">Note: 2026* = Q1 YTD only — the 73% share reflects the absence of </w:t>
            </w:r>
            <w:proofErr w:type="spellStart"/>
            <w:r>
              <w:rPr>
                <w:color w:val="5A6B7B"/>
                <w:sz w:val="14"/>
                <w:szCs w:val="14"/>
              </w:rPr>
              <w:t>megafund</w:t>
            </w:r>
            <w:proofErr w:type="spellEnd"/>
            <w:r>
              <w:rPr>
                <w:color w:val="5A6B7B"/>
                <w:sz w:val="14"/>
                <w:szCs w:val="14"/>
              </w:rPr>
              <w:t xml:space="preserve"> closes in the quarter and will normalise as large funds close. Source: </w:t>
            </w:r>
            <w:proofErr w:type="spellStart"/>
            <w:r>
              <w:rPr>
                <w:color w:val="5A6B7B"/>
                <w:sz w:val="14"/>
                <w:szCs w:val="14"/>
              </w:rPr>
              <w:t>PitchBook</w:t>
            </w:r>
            <w:proofErr w:type="spellEnd"/>
            <w:r>
              <w:rPr>
                <w:color w:val="5A6B7B"/>
                <w:sz w:val="14"/>
                <w:szCs w:val="14"/>
              </w:rPr>
              <w:t>; as of 31 Mar 2026.</w:t>
            </w:r>
          </w:p>
        </w:tc>
        <w:tc>
          <w:tcPr>
            <w:tcW w:w="4650" w:type="dxa"/>
            <w:tcMar>
              <w:top w:w="30" w:type="dxa"/>
              <w:left w:w="50" w:type="dxa"/>
              <w:bottom w:w="30" w:type="dxa"/>
              <w:right w:w="50" w:type="dxa"/>
            </w:tcMar>
          </w:tcPr>
          <w:p w14:paraId="406AE791" w14:textId="77777777" w:rsidR="00F842B3" w:rsidRDefault="007F444F">
            <w:pPr>
              <w:keepNext/>
              <w:spacing w:before="60" w:after="30"/>
            </w:pPr>
            <w:r>
              <w:rPr>
                <w:b/>
                <w:bCs/>
                <w:color w:val="16283F"/>
              </w:rPr>
              <w:t>Exhibit 31: US PE median fund step-up (x prior fund)</w:t>
            </w:r>
          </w:p>
          <w:p w14:paraId="406AE792" w14:textId="77777777" w:rsidR="00F842B3" w:rsidRDefault="007F444F">
            <w:r>
              <w:rPr>
                <w:noProof/>
              </w:rPr>
              <w:drawing>
                <wp:inline distT="0" distB="0" distL="0" distR="0" wp14:anchorId="406AE9A7" wp14:editId="406AE9A8">
                  <wp:extent cx="2857500" cy="2028825"/>
                  <wp:effectExtent l="0" t="0" r="0" b="0"/>
                  <wp:docPr id="417374718" name="Picture 417374718">
                    <a:extLst xmlns:a="http://schemas.openxmlformats.org/drawingml/2006/main">
                      <a:ext uri="{FF2B5EF4-FFF2-40B4-BE49-F238E27FC236}">
                        <a16:creationId xmlns:a16="http://schemas.microsoft.com/office/drawing/2014/main" id="{F54EE697-492D-47E5-8131-6DB044F46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28825"/>
                          </a:xfrm>
                          <a:prstGeom prst="rect">
                            <a:avLst/>
                          </a:prstGeom>
                        </pic:spPr>
                      </pic:pic>
                    </a:graphicData>
                  </a:graphic>
                </wp:inline>
              </w:drawing>
            </w:r>
          </w:p>
          <w:p w14:paraId="406AE793" w14:textId="77777777" w:rsidR="00F842B3" w:rsidRDefault="007F444F">
            <w:pPr>
              <w:spacing w:before="30" w:after="40"/>
            </w:pPr>
            <w:r>
              <w:rPr>
                <w:color w:val="5A6B7B"/>
                <w:sz w:val="14"/>
                <w:szCs w:val="14"/>
              </w:rPr>
              <w:t xml:space="preserve">Note: All US PE funds; median table. Source: </w:t>
            </w:r>
            <w:proofErr w:type="spellStart"/>
            <w:r>
              <w:rPr>
                <w:color w:val="5A6B7B"/>
                <w:sz w:val="14"/>
                <w:szCs w:val="14"/>
              </w:rPr>
              <w:t>PitchBook</w:t>
            </w:r>
            <w:proofErr w:type="spellEnd"/>
            <w:r>
              <w:rPr>
                <w:color w:val="5A6B7B"/>
                <w:sz w:val="14"/>
                <w:szCs w:val="14"/>
              </w:rPr>
              <w:t>; as of 30 Jun 2026.</w:t>
            </w:r>
          </w:p>
        </w:tc>
      </w:tr>
    </w:tbl>
    <w:p w14:paraId="406AE795" w14:textId="77777777" w:rsidR="00F842B3" w:rsidRDefault="00F842B3">
      <w:pPr>
        <w:spacing w:after="100"/>
      </w:pPr>
    </w:p>
    <w:p w14:paraId="406AE796" w14:textId="77777777" w:rsidR="00F842B3" w:rsidRDefault="007F444F">
      <w:pPr>
        <w:pStyle w:val="Heading2"/>
        <w:spacing w:before="200" w:after="100"/>
      </w:pPr>
      <w:r>
        <w:t>5.2 Dry powder and deployment runway</w:t>
      </w:r>
    </w:p>
    <w:p w14:paraId="406AE797" w14:textId="77777777" w:rsidR="00F842B3" w:rsidRDefault="007F444F">
      <w:pPr>
        <w:spacing w:after="140" w:line="264" w:lineRule="auto"/>
        <w:jc w:val="both"/>
      </w:pPr>
      <w:r>
        <w:t xml:space="preserve">Dry powder stands at </w:t>
      </w:r>
      <w:r>
        <w:rPr>
          <w:b/>
          <w:bCs/>
        </w:rPr>
        <w:t>US$1,067bn</w:t>
      </w:r>
      <w:r>
        <w:t xml:space="preserve"> (as of 30 Sep 2025), of which </w:t>
      </w:r>
      <w:proofErr w:type="spellStart"/>
      <w:r>
        <w:t>megafunds</w:t>
      </w:r>
      <w:proofErr w:type="spellEnd"/>
      <w:r>
        <w:t xml:space="preserve"> hold </w:t>
      </w:r>
      <w:r>
        <w:rPr>
          <w:b/>
          <w:bCs/>
        </w:rPr>
        <w:t>~US$485bn</w:t>
      </w:r>
      <w:r>
        <w:t xml:space="preserve">. Measured against deployment, the overhang is thin: at the 2025 pace it is roughly </w:t>
      </w:r>
      <w:r>
        <w:rPr>
          <w:b/>
          <w:bCs/>
        </w:rPr>
        <w:t>0.9 years</w:t>
      </w:r>
      <w:r>
        <w:t xml:space="preserve"> of runway — the low end of the past decade. That argues deployment pressure persists even in a weak exit tape, favouring entry-price discipline as the differentiator among managers rather than deal access.</w:t>
      </w:r>
    </w:p>
    <w:p w14:paraId="406AE798" w14:textId="77777777" w:rsidR="00F842B3" w:rsidRDefault="007F444F">
      <w:pPr>
        <w:keepNext/>
        <w:spacing w:before="60" w:after="30"/>
      </w:pPr>
      <w:r>
        <w:rPr>
          <w:b/>
          <w:bCs/>
          <w:color w:val="16283F"/>
        </w:rPr>
        <w:lastRenderedPageBreak/>
        <w:t>Exhibit 32: US PE dry powder by fund size, and deployment runway</w:t>
      </w:r>
    </w:p>
    <w:p w14:paraId="406AE799" w14:textId="77777777" w:rsidR="00F842B3" w:rsidRDefault="007F444F">
      <w:r>
        <w:rPr>
          <w:noProof/>
        </w:rPr>
        <w:drawing>
          <wp:inline distT="0" distB="0" distL="0" distR="0" wp14:anchorId="406AE9A9" wp14:editId="406AE9AA">
            <wp:extent cx="6143625" cy="2743200"/>
            <wp:effectExtent l="0" t="0" r="0" b="0"/>
            <wp:docPr id="959166026" name="Picture 959166026">
              <a:extLst xmlns:a="http://schemas.openxmlformats.org/drawingml/2006/main">
                <a:ext uri="{FF2B5EF4-FFF2-40B4-BE49-F238E27FC236}">
                  <a16:creationId xmlns:a16="http://schemas.microsoft.com/office/drawing/2014/main" id="{C63195CD-BF72-4EAA-BE00-D1968E93D6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43625" cy="2743200"/>
                    </a:xfrm>
                    <a:prstGeom prst="rect">
                      <a:avLst/>
                    </a:prstGeom>
                  </pic:spPr>
                </pic:pic>
              </a:graphicData>
            </a:graphic>
          </wp:inline>
        </w:drawing>
      </w:r>
    </w:p>
    <w:p w14:paraId="406AE79A" w14:textId="77777777" w:rsidR="00F842B3" w:rsidRDefault="007F444F">
      <w:pPr>
        <w:spacing w:before="30" w:after="180"/>
      </w:pPr>
      <w:r>
        <w:rPr>
          <w:color w:val="5A6B7B"/>
          <w:sz w:val="14"/>
          <w:szCs w:val="14"/>
        </w:rPr>
        <w:t xml:space="preserve">Note: Runway (right scale) = total dry powder ÷ same-calendar-year total deal value — a </w:t>
      </w:r>
      <w:proofErr w:type="spellStart"/>
      <w:r>
        <w:rPr>
          <w:color w:val="5A6B7B"/>
          <w:sz w:val="14"/>
          <w:szCs w:val="14"/>
        </w:rPr>
        <w:t>Junson</w:t>
      </w:r>
      <w:proofErr w:type="spellEnd"/>
      <w:r>
        <w:rPr>
          <w:color w:val="5A6B7B"/>
          <w:sz w:val="14"/>
          <w:szCs w:val="14"/>
        </w:rPr>
        <w:t xml:space="preserve"> calculation; </w:t>
      </w:r>
      <w:proofErr w:type="spellStart"/>
      <w:r>
        <w:rPr>
          <w:color w:val="5A6B7B"/>
          <w:sz w:val="14"/>
          <w:szCs w:val="14"/>
        </w:rPr>
        <w:t>PitchBook</w:t>
      </w:r>
      <w:proofErr w:type="spellEnd"/>
      <w:r>
        <w:rPr>
          <w:color w:val="5A6B7B"/>
          <w:sz w:val="14"/>
          <w:szCs w:val="14"/>
        </w:rPr>
        <w:t xml:space="preserve"> does not publish this ratio. Dry powder as of 30 Sep 2025. Source: </w:t>
      </w:r>
      <w:proofErr w:type="spellStart"/>
      <w:r>
        <w:rPr>
          <w:color w:val="5A6B7B"/>
          <w:sz w:val="14"/>
          <w:szCs w:val="14"/>
        </w:rPr>
        <w:t>PitchBook</w:t>
      </w:r>
      <w:proofErr w:type="spellEnd"/>
      <w:r>
        <w:rPr>
          <w:color w:val="5A6B7B"/>
          <w:sz w:val="14"/>
          <w:szCs w:val="14"/>
        </w:rPr>
        <w:t>.</w:t>
      </w:r>
    </w:p>
    <w:p w14:paraId="406AE79B" w14:textId="77777777" w:rsidR="00F842B3" w:rsidRDefault="007F444F">
      <w:pPr>
        <w:pStyle w:val="Heading1"/>
        <w:spacing w:before="280" w:after="120"/>
      </w:pPr>
      <w:r>
        <w:t>Things We Should Know</w:t>
      </w:r>
    </w:p>
    <w:p w14:paraId="406AE79C" w14:textId="77777777" w:rsidR="00F842B3" w:rsidRDefault="007F444F">
      <w:pPr>
        <w:pStyle w:val="Heading2"/>
        <w:spacing w:before="200" w:after="100"/>
      </w:pPr>
      <w:r>
        <w:t>7.1 AI is repricing PE's favourite sector</w:t>
      </w:r>
    </w:p>
    <w:p w14:paraId="406AE79D" w14:textId="77777777" w:rsidR="00F842B3" w:rsidRDefault="007F444F">
      <w:pPr>
        <w:spacing w:after="140" w:line="264" w:lineRule="auto"/>
        <w:jc w:val="both"/>
      </w:pPr>
      <w:r>
        <w:t xml:space="preserve">The AI reassessment is now a first-order PE fundamental, cutting both ways. Software slid from PE's anchor allocation to one of its least wanted — Q2 estimated software deal value of </w:t>
      </w:r>
      <w:r>
        <w:rPr>
          <w:b/>
          <w:bCs/>
        </w:rPr>
        <w:t>US$10.7bn</w:t>
      </w:r>
      <w:r>
        <w:t xml:space="preserve">, </w:t>
      </w:r>
      <w:r>
        <w:rPr>
          <w:b/>
          <w:bCs/>
        </w:rPr>
        <w:t>-65.7%</w:t>
      </w:r>
      <w:r>
        <w:t xml:space="preserve"> YoY and </w:t>
      </w:r>
      <w:r>
        <w:rPr>
          <w:b/>
          <w:bCs/>
        </w:rPr>
        <w:t>90.3%</w:t>
      </w:r>
      <w:r>
        <w:t xml:space="preserve"> below peak — as AI compresses the perceived disruption timeline for incumbent software business models. The same force is rebuilding the case for the physical infrastructure that feeds it: energy YTD deal value is up </w:t>
      </w:r>
      <w:r>
        <w:rPr>
          <w:b/>
          <w:bCs/>
        </w:rPr>
        <w:t>80.5%</w:t>
      </w:r>
      <w:r>
        <w:t xml:space="preserve">, the only major sector to grow in both count and value. For a fund allocator the test is portfolio-level: managers with heavy 2020–2022 software cohorts face both mark risk and extended holds; managers positioned in energy, industrials and AI-adjacent infrastructure get a cyclical and structural tailwind. Claim to revisit in Q3: software's share of US PE deal value stays below </w:t>
      </w:r>
      <w:r>
        <w:rPr>
          <w:b/>
          <w:bCs/>
        </w:rPr>
        <w:t>15%</w:t>
      </w:r>
      <w:r>
        <w:t xml:space="preserve"> for the rest of 2026 despite the valuation reset.</w:t>
      </w:r>
    </w:p>
    <w:p w14:paraId="406AE79E" w14:textId="39436AB7" w:rsidR="00F842B3" w:rsidRDefault="007F444F">
      <w:pPr>
        <w:pStyle w:val="Heading2"/>
        <w:spacing w:before="200" w:after="100"/>
      </w:pPr>
      <w:r>
        <w:t xml:space="preserve">7.2 </w:t>
      </w:r>
      <w:r w:rsidR="00B76ACA">
        <w:t>Scale is the dividing line of this fundraising cycle</w:t>
      </w:r>
    </w:p>
    <w:p w14:paraId="406AE7A0" w14:textId="20DF4124" w:rsidR="00F842B3" w:rsidRDefault="007F444F">
      <w:pPr>
        <w:spacing w:after="140" w:line="264" w:lineRule="auto"/>
        <w:jc w:val="both"/>
      </w:pPr>
      <w:r>
        <w:t xml:space="preserve">The average US PE fund closed YTD is </w:t>
      </w:r>
      <w:r>
        <w:rPr>
          <w:b/>
          <w:bCs/>
        </w:rPr>
        <w:t>~US$753m</w:t>
      </w:r>
      <w:r>
        <w:t xml:space="preserve"> against a </w:t>
      </w:r>
      <w:r>
        <w:rPr>
          <w:b/>
          <w:bCs/>
        </w:rPr>
        <w:t>~US$75m</w:t>
      </w:r>
      <w:r>
        <w:t xml:space="preserve"> median (§5.1); funds under US$1bn drew just </w:t>
      </w:r>
      <w:r>
        <w:rPr>
          <w:b/>
          <w:bCs/>
        </w:rPr>
        <w:t>16.7%</w:t>
      </w:r>
      <w:r>
        <w:t xml:space="preserve"> of commitments; and yet alternative-manager platforms keep clearing at size — GP Stakes VI at </w:t>
      </w:r>
      <w:r>
        <w:rPr>
          <w:b/>
          <w:bCs/>
        </w:rPr>
        <w:t>US$8.9bn</w:t>
      </w:r>
      <w:r>
        <w:t xml:space="preserve">, Veritas IX at </w:t>
      </w:r>
      <w:r>
        <w:rPr>
          <w:b/>
          <w:bCs/>
        </w:rPr>
        <w:t>US$15.3bn</w:t>
      </w:r>
      <w:r>
        <w:t>, HPC Fund II launching — while first-time and emerging managers are squeezed hardest. Whatever the deal tape does, capital formation is consolidating around platforms.</w:t>
      </w:r>
    </w:p>
    <w:p w14:paraId="406AE7A1" w14:textId="77777777" w:rsidR="00F842B3" w:rsidRDefault="007F444F">
      <w:pPr>
        <w:pStyle w:val="Heading2"/>
        <w:spacing w:before="200" w:after="100"/>
      </w:pPr>
      <w:r>
        <w:t>7.3 How the PE market impacts the private credit market</w:t>
      </w:r>
    </w:p>
    <w:p w14:paraId="406AE7A2" w14:textId="77777777" w:rsidR="00F842B3" w:rsidRDefault="007F444F">
      <w:pPr>
        <w:spacing w:after="140" w:line="264" w:lineRule="auto"/>
        <w:jc w:val="both"/>
      </w:pPr>
      <w:r>
        <w:t xml:space="preserve">The transmission runs through three channels, all visible this quarter. </w:t>
      </w:r>
      <w:r>
        <w:rPr>
          <w:b/>
          <w:bCs/>
        </w:rPr>
        <w:t>Origination demand:</w:t>
      </w:r>
      <w:r>
        <w:t xml:space="preserve"> every buyout's debt package is sourced from either the BSL market or private credit, and private markets financed </w:t>
      </w:r>
      <w:r>
        <w:rPr>
          <w:b/>
          <w:bCs/>
        </w:rPr>
        <w:t>82%</w:t>
      </w:r>
      <w:r>
        <w:t xml:space="preserve"> of LBOs by count as of 1Q26 — so the </w:t>
      </w:r>
      <w:r>
        <w:rPr>
          <w:b/>
          <w:bCs/>
        </w:rPr>
        <w:t>-37.5%</w:t>
      </w:r>
      <w:r>
        <w:t xml:space="preserve"> QoQ fall in US PE deal value (§2.1) and the </w:t>
      </w:r>
      <w:r>
        <w:rPr>
          <w:b/>
          <w:bCs/>
        </w:rPr>
        <w:t>-24%</w:t>
      </w:r>
      <w:r>
        <w:t xml:space="preserve"> y/y decline in direct-lending origination tracked in our Private Credit Quarterly are the same event seen from two sides. </w:t>
      </w:r>
      <w:r>
        <w:rPr>
          <w:b/>
          <w:bCs/>
        </w:rPr>
        <w:t>Portfolio behaviour:</w:t>
      </w:r>
      <w:r>
        <w:t xml:space="preserve"> with sponsors in balance-sheet </w:t>
      </w:r>
      <w:proofErr w:type="spellStart"/>
      <w:r>
        <w:t>defense</w:t>
      </w:r>
      <w:proofErr w:type="spellEnd"/>
      <w:r>
        <w:t xml:space="preserve"> — 45% of non-refinancing BSL issuance versus a ~70% five-year average, 53% of refinancing volume, 74% of extension amendments — private credit books rotate from new deployment toward amendments, </w:t>
      </w:r>
      <w:proofErr w:type="spellStart"/>
      <w:r>
        <w:t>repricings</w:t>
      </w:r>
      <w:proofErr w:type="spellEnd"/>
      <w:r>
        <w:t xml:space="preserve"> and PIK toggles, which is where credit-quality signals surface first. </w:t>
      </w:r>
      <w:r>
        <w:rPr>
          <w:b/>
          <w:bCs/>
        </w:rPr>
        <w:t>Pricing power:</w:t>
      </w:r>
      <w:r>
        <w:t xml:space="preserve"> scarcer new deals plus returning bank competition move the direct-lending premium around, but at </w:t>
      </w:r>
      <w:r>
        <w:rPr>
          <w:b/>
          <w:bCs/>
        </w:rPr>
        <w:t>178bp over single-B BSL</w:t>
      </w:r>
      <w:r>
        <w:t xml:space="preserve"> (2Q26, PC Quarterly §3) private credit is still being paid for illiquidity. Net: a weak PE deal tape slows private credit's growth but fattens its seasoned-book economics — the risk to watch is not volume, it is the extend-and-hope cohort inside existing books as holds lengthen (§4).</w:t>
      </w:r>
    </w:p>
    <w:p w14:paraId="406AE7A3" w14:textId="77777777" w:rsidR="00F842B3" w:rsidRDefault="007F444F">
      <w:pPr>
        <w:pStyle w:val="Heading2"/>
        <w:spacing w:before="200" w:after="100"/>
      </w:pPr>
      <w:r>
        <w:t>7.4 How the PE market impacts GP-stakes funds</w:t>
      </w:r>
    </w:p>
    <w:p w14:paraId="406AE7A4" w14:textId="77777777" w:rsidR="00F842B3" w:rsidRDefault="007F444F">
      <w:pPr>
        <w:spacing w:after="140" w:line="264" w:lineRule="auto"/>
        <w:jc w:val="both"/>
      </w:pPr>
      <w:r>
        <w:t xml:space="preserve">A GP-stakes fund owns three cash-flow streams — management-fee earnings, carried interest, and the terminal value of the stake — and each maps to one part of this report. </w:t>
      </w:r>
      <w:r>
        <w:rPr>
          <w:b/>
          <w:bCs/>
        </w:rPr>
        <w:t>Fundraising (§5) drives the fee stream</w:t>
      </w:r>
      <w:r>
        <w:t>, the largest component of value: concentration toward large platforms is a structural tailwind for a book like GPS V's (</w:t>
      </w:r>
      <w:proofErr w:type="spellStart"/>
      <w:r>
        <w:t>Stonepeak</w:t>
      </w:r>
      <w:proofErr w:type="spellEnd"/>
      <w:r>
        <w:t xml:space="preserve">, Veritas, CVC, PAI, H.I.G — ~80% of holding value), and Veritas IX's US$15.3bn close shows it; but fundraising failure is the sharpest markdown trigger in the strategy — MBK </w:t>
      </w:r>
      <w:r>
        <w:rPr>
          <w:b/>
          <w:bCs/>
        </w:rPr>
        <w:t>-14.2%</w:t>
      </w:r>
      <w:r>
        <w:t xml:space="preserve"> this quarter and </w:t>
      </w:r>
      <w:proofErr w:type="spellStart"/>
      <w:r>
        <w:t>DivCore</w:t>
      </w:r>
      <w:proofErr w:type="spellEnd"/>
      <w:r>
        <w:t>/</w:t>
      </w:r>
      <w:proofErr w:type="spellStart"/>
      <w:r>
        <w:t>Bitkraft</w:t>
      </w:r>
      <w:proofErr w:type="spellEnd"/>
      <w:r>
        <w:t xml:space="preserve"> last quarter were all fundraising-driven. </w:t>
      </w:r>
      <w:r>
        <w:rPr>
          <w:b/>
          <w:bCs/>
        </w:rPr>
        <w:t>Exits (§4) drive carry crystallisation</w:t>
      </w:r>
      <w:r>
        <w:t xml:space="preserve">, and the drought explains why only </w:t>
      </w:r>
      <w:r>
        <w:rPr>
          <w:b/>
          <w:bCs/>
        </w:rPr>
        <w:t>8.2%</w:t>
      </w:r>
      <w:r>
        <w:t xml:space="preserve"> of GPS V's US$3.4bn gross distributions are sale proceeds while </w:t>
      </w:r>
      <w:r>
        <w:rPr>
          <w:b/>
          <w:bCs/>
        </w:rPr>
        <w:t>36.2%</w:t>
      </w:r>
      <w:r>
        <w:t xml:space="preserve"> </w:t>
      </w:r>
      <w:r>
        <w:lastRenderedPageBreak/>
        <w:t xml:space="preserve">come from securitization — engineered, not market, liquidity; the offset is that longer holds extend the fee-collection period, the strategy's built-in hedge. </w:t>
      </w:r>
      <w:r>
        <w:rPr>
          <w:b/>
          <w:bCs/>
        </w:rPr>
        <w:t>Performance and multiples (§3) drive the marks</w:t>
      </w:r>
      <w:r>
        <w:t xml:space="preserve">: single-digit rolling IRRs defer carry value, and listed alt-manager prices transmit instantly — CVC's </w:t>
      </w:r>
      <w:r>
        <w:rPr>
          <w:b/>
          <w:bCs/>
        </w:rPr>
        <w:t>-19.2%</w:t>
      </w:r>
      <w:r>
        <w:t xml:space="preserve"> quarter took roughly two points off GPS V's portfolio on its own. Deal activity (§2) is the slow variable, governing future carry-pool formation and successor-fund timing. Net read: fee streams are secure at scale, carry is deferred, and marks are volatile — exactly the profile GPS V prints in §9 (17th percentile on IRR, 71st on DPI).</w:t>
      </w:r>
    </w:p>
    <w:p w14:paraId="406AE7A5" w14:textId="77777777" w:rsidR="00F842B3" w:rsidRDefault="007F444F">
      <w:pPr>
        <w:pStyle w:val="Heading2"/>
        <w:spacing w:before="200" w:after="100"/>
      </w:pPr>
      <w:r>
        <w:t xml:space="preserve">7.5 Implications for </w:t>
      </w:r>
      <w:proofErr w:type="spellStart"/>
      <w:r>
        <w:t>Junson</w:t>
      </w:r>
      <w:proofErr w:type="spellEnd"/>
    </w:p>
    <w:p w14:paraId="406AE7A6" w14:textId="691B9FA3" w:rsidR="00F842B3" w:rsidRDefault="007F444F">
      <w:pPr>
        <w:spacing w:after="140" w:line="264" w:lineRule="auto"/>
        <w:jc w:val="both"/>
      </w:pPr>
      <w:r>
        <w:rPr>
          <w:b/>
          <w:bCs/>
        </w:rPr>
        <w:t xml:space="preserve">Implication for </w:t>
      </w:r>
      <w:proofErr w:type="spellStart"/>
      <w:r>
        <w:rPr>
          <w:b/>
          <w:bCs/>
        </w:rPr>
        <w:t>Junson</w:t>
      </w:r>
      <w:proofErr w:type="spellEnd"/>
      <w:r>
        <w:rPr>
          <w:b/>
          <w:bCs/>
        </w:rPr>
        <w:t>:</w:t>
      </w:r>
      <w:r>
        <w:t xml:space="preserve"> treat 2026 as a selectively attractive commitment vintage — entry multiples are drifting down and competition for deals is thinner — but only with managers who can demonstrate realized DPI, not marked IRR. Maintain the pacing plan (falling multiples plus thin runway favour steady 2026–27 commitments over waiting); tilt toward middle-market buyout and energy/industrial exposure while stress-testing software-heavy GPs' 2020–22 cohorts; evaluate GP-led/continuation opportunities, where 29% of inventory held 6+ years plus below-pace GP-led volume implies unmet demand and widening LP-stake discounts. What would change our mind: quarterly exit value above </w:t>
      </w:r>
      <w:r>
        <w:rPr>
          <w:b/>
          <w:bCs/>
        </w:rPr>
        <w:t>US$200bn</w:t>
      </w:r>
      <w:r>
        <w:t xml:space="preserve"> for two consecutive quarters (liquidity turning); deals-to-exits below </w:t>
      </w:r>
      <w:r>
        <w:rPr>
          <w:b/>
          <w:bCs/>
        </w:rPr>
        <w:t>1.25</w:t>
      </w:r>
      <w:r>
        <w:t xml:space="preserve"> (inventory clearing); sub-US$1bn share of fundraising above </w:t>
      </w:r>
      <w:r>
        <w:rPr>
          <w:b/>
          <w:bCs/>
        </w:rPr>
        <w:t>25%</w:t>
      </w:r>
      <w:r>
        <w:t xml:space="preserve"> (breadth returning). </w:t>
      </w:r>
    </w:p>
    <w:p w14:paraId="406AE7A7" w14:textId="77777777" w:rsidR="00F842B3" w:rsidRDefault="007F444F">
      <w:pPr>
        <w:pStyle w:val="Heading1"/>
        <w:spacing w:before="280" w:after="120"/>
      </w:pPr>
      <w:r>
        <w:t>Fund Update</w:t>
      </w:r>
    </w:p>
    <w:p w14:paraId="406AE7A8" w14:textId="77777777" w:rsidR="00F842B3" w:rsidRDefault="007F444F">
      <w:pPr>
        <w:pStyle w:val="Heading2"/>
        <w:spacing w:before="200" w:after="100"/>
      </w:pPr>
      <w:r>
        <w:t>8.1 Blue Owl GP Stakes V</w:t>
      </w:r>
    </w:p>
    <w:p w14:paraId="406AE7A9" w14:textId="77777777" w:rsidR="00F842B3" w:rsidRDefault="007F444F">
      <w:pPr>
        <w:spacing w:after="140" w:line="264" w:lineRule="auto"/>
        <w:jc w:val="both"/>
      </w:pPr>
      <w:r>
        <w:t xml:space="preserve">We received Blue Owl's quarterly investor letter for GP Stakes V for </w:t>
      </w:r>
      <w:r>
        <w:rPr>
          <w:b/>
          <w:bCs/>
        </w:rPr>
        <w:t>1Q26</w:t>
      </w:r>
      <w:r>
        <w:t xml:space="preserve"> (report date 31 Mar 2026, delivered 14 Aug 2026); the prior letter (4Q25, as of 31 Dec 2025) is the comparison base. The quarter was a giveback: the GP portfolio value fell </w:t>
      </w:r>
      <w:r>
        <w:rPr>
          <w:b/>
          <w:bCs/>
        </w:rPr>
        <w:t>-2.3%</w:t>
      </w:r>
      <w:r>
        <w:t xml:space="preserve"> after </w:t>
      </w:r>
      <w:r>
        <w:rPr>
          <w:b/>
          <w:bCs/>
        </w:rPr>
        <w:t>+1.8%</w:t>
      </w:r>
      <w:r>
        <w:t xml:space="preserve"> in 4Q25, LP net blended TVPI slipped to </w:t>
      </w:r>
      <w:r>
        <w:rPr>
          <w:b/>
          <w:bCs/>
        </w:rPr>
        <w:t>1.1x</w:t>
      </w:r>
      <w:r>
        <w:t xml:space="preserve"> from </w:t>
      </w:r>
      <w:r>
        <w:rPr>
          <w:b/>
          <w:bCs/>
        </w:rPr>
        <w:t>1.2x</w:t>
      </w:r>
      <w:r>
        <w:t xml:space="preserve">, and net blended IRR fell to </w:t>
      </w:r>
      <w:r>
        <w:rPr>
          <w:b/>
          <w:bCs/>
        </w:rPr>
        <w:t>7.6%</w:t>
      </w:r>
      <w:r>
        <w:t xml:space="preserve"> from </w:t>
      </w:r>
      <w:r>
        <w:rPr>
          <w:b/>
          <w:bCs/>
        </w:rPr>
        <w:t>10.7%</w:t>
      </w:r>
      <w:r>
        <w:t xml:space="preserve"> — DPI was flat at </w:t>
      </w:r>
      <w:r>
        <w:rPr>
          <w:b/>
          <w:bCs/>
        </w:rPr>
        <w:t>0.4x</w:t>
      </w:r>
      <w:r>
        <w:t xml:space="preserve">, so the decline is a markdown story, not a distribution story. Distributions to LPs did edge up to </w:t>
      </w:r>
      <w:r>
        <w:rPr>
          <w:b/>
          <w:bCs/>
        </w:rPr>
        <w:t>US$3.1bn</w:t>
      </w:r>
      <w:r>
        <w:t xml:space="preserve"> cumulative from US$2.9bn, helped by </w:t>
      </w:r>
      <w:proofErr w:type="spellStart"/>
      <w:r>
        <w:t>WarwickRe's</w:t>
      </w:r>
      <w:proofErr w:type="spellEnd"/>
      <w:r>
        <w:t xml:space="preserve"> final redemption settlement (fully exited in January 2026). Separately, Blue Owl closed approximately </w:t>
      </w:r>
      <w:r>
        <w:rPr>
          <w:b/>
          <w:bCs/>
        </w:rPr>
        <w:t>US$8.9bn</w:t>
      </w:r>
      <w:r>
        <w:t xml:space="preserve"> for successor fund GP Stakes VI as of 31 Mar 2026 — the peer-scale benchmark for §9.</w:t>
      </w:r>
    </w:p>
    <w:p w14:paraId="406AE7AA" w14:textId="77777777" w:rsidR="00F842B3" w:rsidRDefault="007F444F">
      <w:pPr>
        <w:pStyle w:val="Heading2"/>
        <w:spacing w:before="200" w:after="100"/>
      </w:pPr>
      <w:r>
        <w:t>8.1.1 Fund snapshot</w:t>
      </w:r>
    </w:p>
    <w:tbl>
      <w:tblPr>
        <w:tblW w:w="9010" w:type="dxa"/>
        <w:tblCellMar>
          <w:left w:w="10" w:type="dxa"/>
          <w:right w:w="10" w:type="dxa"/>
        </w:tblCellMar>
        <w:tblLook w:val="04A0" w:firstRow="1" w:lastRow="0" w:firstColumn="1" w:lastColumn="0" w:noHBand="0" w:noVBand="1"/>
      </w:tblPr>
      <w:tblGrid>
        <w:gridCol w:w="4440"/>
        <w:gridCol w:w="4590"/>
      </w:tblGrid>
      <w:tr w:rsidR="00F842B3" w14:paraId="406AE7E7" w14:textId="77777777">
        <w:tc>
          <w:tcPr>
            <w:tcW w:w="4350" w:type="dxa"/>
            <w:tcMar>
              <w:top w:w="20" w:type="dxa"/>
              <w:left w:w="40" w:type="dxa"/>
              <w:bottom w:w="20" w:type="dxa"/>
              <w:right w:w="40" w:type="dxa"/>
            </w:tcMar>
          </w:tcPr>
          <w:tbl>
            <w:tblPr>
              <w:tblW w:w="4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2900"/>
            </w:tblGrid>
            <w:tr w:rsidR="00F842B3" w14:paraId="406AE7AD" w14:textId="77777777">
              <w:tc>
                <w:tcPr>
                  <w:tcW w:w="1450" w:type="dxa"/>
                  <w:shd w:val="clear" w:color="auto" w:fill="EDF1F7"/>
                  <w:tcMar>
                    <w:top w:w="55" w:type="dxa"/>
                    <w:left w:w="80" w:type="dxa"/>
                    <w:bottom w:w="55" w:type="dxa"/>
                    <w:right w:w="80" w:type="dxa"/>
                  </w:tcMar>
                </w:tcPr>
                <w:p w14:paraId="406AE7AB" w14:textId="77777777" w:rsidR="00F842B3" w:rsidRDefault="007F444F">
                  <w:pPr>
                    <w:spacing w:line="235" w:lineRule="auto"/>
                  </w:pPr>
                  <w:r>
                    <w:rPr>
                      <w:b/>
                      <w:bCs/>
                      <w:color w:val="16283F"/>
                      <w:sz w:val="16"/>
                      <w:szCs w:val="16"/>
                    </w:rPr>
                    <w:t>Strategy</w:t>
                  </w:r>
                </w:p>
              </w:tc>
              <w:tc>
                <w:tcPr>
                  <w:tcW w:w="2900" w:type="dxa"/>
                  <w:shd w:val="clear" w:color="auto" w:fill="FFFFFF"/>
                  <w:tcMar>
                    <w:top w:w="55" w:type="dxa"/>
                    <w:left w:w="80" w:type="dxa"/>
                    <w:bottom w:w="55" w:type="dxa"/>
                    <w:right w:w="80" w:type="dxa"/>
                  </w:tcMar>
                </w:tcPr>
                <w:p w14:paraId="406AE7AC" w14:textId="77777777" w:rsidR="00F842B3" w:rsidRDefault="007F444F">
                  <w:pPr>
                    <w:spacing w:line="235" w:lineRule="auto"/>
                  </w:pPr>
                  <w:r>
                    <w:rPr>
                      <w:sz w:val="16"/>
                      <w:szCs w:val="16"/>
                    </w:rPr>
                    <w:t>Minority GP stakes in PE / alternative asset managers</w:t>
                  </w:r>
                </w:p>
              </w:tc>
            </w:tr>
            <w:tr w:rsidR="00F842B3" w14:paraId="406AE7B0" w14:textId="77777777">
              <w:tc>
                <w:tcPr>
                  <w:tcW w:w="1450" w:type="dxa"/>
                  <w:shd w:val="clear" w:color="auto" w:fill="EDF1F7"/>
                  <w:tcMar>
                    <w:top w:w="55" w:type="dxa"/>
                    <w:left w:w="80" w:type="dxa"/>
                    <w:bottom w:w="55" w:type="dxa"/>
                    <w:right w:w="80" w:type="dxa"/>
                  </w:tcMar>
                </w:tcPr>
                <w:p w14:paraId="406AE7AE" w14:textId="77777777" w:rsidR="00F842B3" w:rsidRDefault="007F444F">
                  <w:pPr>
                    <w:spacing w:line="235" w:lineRule="auto"/>
                  </w:pPr>
                  <w:r>
                    <w:rPr>
                      <w:b/>
                      <w:bCs/>
                      <w:color w:val="16283F"/>
                      <w:sz w:val="16"/>
                      <w:szCs w:val="16"/>
                    </w:rPr>
                    <w:t>Total commitments</w:t>
                  </w:r>
                </w:p>
              </w:tc>
              <w:tc>
                <w:tcPr>
                  <w:tcW w:w="2900" w:type="dxa"/>
                  <w:shd w:val="clear" w:color="auto" w:fill="FFFFFF"/>
                  <w:tcMar>
                    <w:top w:w="55" w:type="dxa"/>
                    <w:left w:w="80" w:type="dxa"/>
                    <w:bottom w:w="55" w:type="dxa"/>
                    <w:right w:w="80" w:type="dxa"/>
                  </w:tcMar>
                </w:tcPr>
                <w:p w14:paraId="406AE7AF" w14:textId="77777777" w:rsidR="00F842B3" w:rsidRDefault="007F444F">
                  <w:pPr>
                    <w:spacing w:line="235" w:lineRule="auto"/>
                  </w:pPr>
                  <w:r>
                    <w:rPr>
                      <w:sz w:val="16"/>
                      <w:szCs w:val="16"/>
                    </w:rPr>
                    <w:t>US$12.9bn</w:t>
                  </w:r>
                </w:p>
              </w:tc>
            </w:tr>
            <w:tr w:rsidR="00F842B3" w14:paraId="406AE7B3" w14:textId="77777777">
              <w:tc>
                <w:tcPr>
                  <w:tcW w:w="1450" w:type="dxa"/>
                  <w:shd w:val="clear" w:color="auto" w:fill="EDF1F7"/>
                  <w:tcMar>
                    <w:top w:w="55" w:type="dxa"/>
                    <w:left w:w="80" w:type="dxa"/>
                    <w:bottom w:w="55" w:type="dxa"/>
                    <w:right w:w="80" w:type="dxa"/>
                  </w:tcMar>
                </w:tcPr>
                <w:p w14:paraId="406AE7B1" w14:textId="77777777" w:rsidR="00F842B3" w:rsidRDefault="007F444F">
                  <w:pPr>
                    <w:spacing w:line="235" w:lineRule="auto"/>
                  </w:pPr>
                  <w:r>
                    <w:rPr>
                      <w:b/>
                      <w:bCs/>
                      <w:color w:val="16283F"/>
                      <w:sz w:val="16"/>
                      <w:szCs w:val="16"/>
                    </w:rPr>
                    <w:t>Final close</w:t>
                  </w:r>
                </w:p>
              </w:tc>
              <w:tc>
                <w:tcPr>
                  <w:tcW w:w="2900" w:type="dxa"/>
                  <w:shd w:val="clear" w:color="auto" w:fill="FFFFFF"/>
                  <w:tcMar>
                    <w:top w:w="55" w:type="dxa"/>
                    <w:left w:w="80" w:type="dxa"/>
                    <w:bottom w:w="55" w:type="dxa"/>
                    <w:right w:w="80" w:type="dxa"/>
                  </w:tcMar>
                </w:tcPr>
                <w:p w14:paraId="406AE7B2" w14:textId="77777777" w:rsidR="00F842B3" w:rsidRDefault="007F444F">
                  <w:pPr>
                    <w:spacing w:line="235" w:lineRule="auto"/>
                  </w:pPr>
                  <w:r>
                    <w:rPr>
                      <w:sz w:val="16"/>
                      <w:szCs w:val="16"/>
                    </w:rPr>
                    <w:t>2022</w:t>
                  </w:r>
                </w:p>
              </w:tc>
            </w:tr>
            <w:tr w:rsidR="00F842B3" w14:paraId="406AE7B6" w14:textId="77777777">
              <w:tc>
                <w:tcPr>
                  <w:tcW w:w="1450" w:type="dxa"/>
                  <w:shd w:val="clear" w:color="auto" w:fill="EDF1F7"/>
                  <w:tcMar>
                    <w:top w:w="55" w:type="dxa"/>
                    <w:left w:w="80" w:type="dxa"/>
                    <w:bottom w:w="55" w:type="dxa"/>
                    <w:right w:w="80" w:type="dxa"/>
                  </w:tcMar>
                </w:tcPr>
                <w:p w14:paraId="406AE7B4" w14:textId="77777777" w:rsidR="00F842B3" w:rsidRDefault="007F444F">
                  <w:pPr>
                    <w:spacing w:line="235" w:lineRule="auto"/>
                  </w:pPr>
                  <w:r>
                    <w:rPr>
                      <w:b/>
                      <w:bCs/>
                      <w:color w:val="16283F"/>
                      <w:sz w:val="16"/>
                      <w:szCs w:val="16"/>
                    </w:rPr>
                    <w:t>Partner managers</w:t>
                  </w:r>
                </w:p>
              </w:tc>
              <w:tc>
                <w:tcPr>
                  <w:tcW w:w="2900" w:type="dxa"/>
                  <w:shd w:val="clear" w:color="auto" w:fill="FFFFFF"/>
                  <w:tcMar>
                    <w:top w:w="55" w:type="dxa"/>
                    <w:left w:w="80" w:type="dxa"/>
                    <w:bottom w:w="55" w:type="dxa"/>
                    <w:right w:w="80" w:type="dxa"/>
                  </w:tcMar>
                </w:tcPr>
                <w:p w14:paraId="406AE7B5" w14:textId="77777777" w:rsidR="00F842B3" w:rsidRDefault="007F444F">
                  <w:pPr>
                    <w:spacing w:line="235" w:lineRule="auto"/>
                  </w:pPr>
                  <w:r>
                    <w:rPr>
                      <w:sz w:val="16"/>
                      <w:szCs w:val="16"/>
                    </w:rPr>
                    <w:t>20 (</w:t>
                  </w:r>
                  <w:proofErr w:type="spellStart"/>
                  <w:r>
                    <w:rPr>
                      <w:sz w:val="16"/>
                      <w:szCs w:val="16"/>
                    </w:rPr>
                    <w:t>WarwickRe</w:t>
                  </w:r>
                  <w:proofErr w:type="spellEnd"/>
                  <w:r>
                    <w:rPr>
                      <w:sz w:val="16"/>
                      <w:szCs w:val="16"/>
                    </w:rPr>
                    <w:t xml:space="preserve"> exited Jan 2026)</w:t>
                  </w:r>
                </w:p>
              </w:tc>
            </w:tr>
            <w:tr w:rsidR="00F842B3" w14:paraId="406AE7B9" w14:textId="77777777">
              <w:tc>
                <w:tcPr>
                  <w:tcW w:w="1450" w:type="dxa"/>
                  <w:shd w:val="clear" w:color="auto" w:fill="EDF1F7"/>
                  <w:tcMar>
                    <w:top w:w="55" w:type="dxa"/>
                    <w:left w:w="80" w:type="dxa"/>
                    <w:bottom w:w="55" w:type="dxa"/>
                    <w:right w:w="80" w:type="dxa"/>
                  </w:tcMar>
                </w:tcPr>
                <w:p w14:paraId="406AE7B7" w14:textId="77777777" w:rsidR="00F842B3" w:rsidRDefault="007F444F">
                  <w:pPr>
                    <w:spacing w:line="235" w:lineRule="auto"/>
                  </w:pPr>
                  <w:r>
                    <w:rPr>
                      <w:b/>
                      <w:bCs/>
                      <w:color w:val="16283F"/>
                      <w:sz w:val="16"/>
                      <w:szCs w:val="16"/>
                    </w:rPr>
                    <w:t>Fund-level financing</w:t>
                  </w:r>
                </w:p>
              </w:tc>
              <w:tc>
                <w:tcPr>
                  <w:tcW w:w="2900" w:type="dxa"/>
                  <w:shd w:val="clear" w:color="auto" w:fill="FFFFFF"/>
                  <w:tcMar>
                    <w:top w:w="55" w:type="dxa"/>
                    <w:left w:w="80" w:type="dxa"/>
                    <w:bottom w:w="55" w:type="dxa"/>
                    <w:right w:w="80" w:type="dxa"/>
                  </w:tcMar>
                </w:tcPr>
                <w:p w14:paraId="406AE7B8" w14:textId="77777777" w:rsidR="00F842B3" w:rsidRDefault="007F444F">
                  <w:pPr>
                    <w:spacing w:line="235" w:lineRule="auto"/>
                  </w:pPr>
                  <w:r>
                    <w:rPr>
                      <w:sz w:val="16"/>
                      <w:szCs w:val="16"/>
                    </w:rPr>
                    <w:t>US$1.3bn IG securitization (Sep 2023); credit facility</w:t>
                  </w:r>
                </w:p>
              </w:tc>
            </w:tr>
            <w:tr w:rsidR="00F842B3" w14:paraId="406AE7BC" w14:textId="77777777">
              <w:tc>
                <w:tcPr>
                  <w:tcW w:w="1450" w:type="dxa"/>
                  <w:shd w:val="clear" w:color="auto" w:fill="EDF1F7"/>
                  <w:tcMar>
                    <w:top w:w="55" w:type="dxa"/>
                    <w:left w:w="80" w:type="dxa"/>
                    <w:bottom w:w="55" w:type="dxa"/>
                    <w:right w:w="80" w:type="dxa"/>
                  </w:tcMar>
                </w:tcPr>
                <w:p w14:paraId="406AE7BA" w14:textId="77777777" w:rsidR="00F842B3" w:rsidRDefault="007F444F">
                  <w:pPr>
                    <w:spacing w:line="235" w:lineRule="auto"/>
                  </w:pPr>
                  <w:r>
                    <w:rPr>
                      <w:b/>
                      <w:bCs/>
                      <w:color w:val="16283F"/>
                      <w:sz w:val="16"/>
                      <w:szCs w:val="16"/>
                    </w:rPr>
                    <w:t>Status</w:t>
                  </w:r>
                </w:p>
              </w:tc>
              <w:tc>
                <w:tcPr>
                  <w:tcW w:w="2900" w:type="dxa"/>
                  <w:shd w:val="clear" w:color="auto" w:fill="FFFFFF"/>
                  <w:tcMar>
                    <w:top w:w="55" w:type="dxa"/>
                    <w:left w:w="80" w:type="dxa"/>
                    <w:bottom w:w="55" w:type="dxa"/>
                    <w:right w:w="80" w:type="dxa"/>
                  </w:tcMar>
                </w:tcPr>
                <w:p w14:paraId="406AE7BB" w14:textId="77777777" w:rsidR="00F842B3" w:rsidRDefault="007F444F">
                  <w:pPr>
                    <w:spacing w:line="235" w:lineRule="auto"/>
                  </w:pPr>
                  <w:r>
                    <w:rPr>
                      <w:sz w:val="16"/>
                      <w:szCs w:val="16"/>
                    </w:rPr>
                    <w:t>64% called; successor GP Stakes VI raising (US$8.9bn closed)</w:t>
                  </w:r>
                </w:p>
              </w:tc>
            </w:tr>
          </w:tbl>
          <w:p w14:paraId="406AE7BD" w14:textId="77777777" w:rsidR="00F842B3" w:rsidRDefault="00F842B3"/>
        </w:tc>
        <w:tc>
          <w:tcPr>
            <w:tcW w:w="4500" w:type="dxa"/>
            <w:tcMar>
              <w:top w:w="20" w:type="dxa"/>
              <w:left w:w="40" w:type="dxa"/>
              <w:bottom w:w="20" w:type="dxa"/>
              <w:right w:w="40" w:type="dxa"/>
            </w:tcMar>
          </w:tcPr>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900"/>
              <w:gridCol w:w="800"/>
            </w:tblGrid>
            <w:tr w:rsidR="00F842B3" w14:paraId="406AE7C2" w14:textId="77777777">
              <w:trPr>
                <w:tblHeader/>
              </w:trPr>
              <w:tc>
                <w:tcPr>
                  <w:tcW w:w="1900" w:type="dxa"/>
                  <w:shd w:val="clear" w:color="auto" w:fill="1F3B5B"/>
                  <w:tcMar>
                    <w:top w:w="55" w:type="dxa"/>
                    <w:left w:w="80" w:type="dxa"/>
                    <w:bottom w:w="55" w:type="dxa"/>
                    <w:right w:w="80" w:type="dxa"/>
                  </w:tcMar>
                </w:tcPr>
                <w:p w14:paraId="406AE7BE" w14:textId="77777777" w:rsidR="00F842B3" w:rsidRDefault="007F444F">
                  <w:pPr>
                    <w:spacing w:line="235" w:lineRule="auto"/>
                  </w:pPr>
                  <w:r>
                    <w:rPr>
                      <w:b/>
                      <w:bCs/>
                      <w:color w:val="FFFFFF"/>
                      <w:sz w:val="16"/>
                      <w:szCs w:val="16"/>
                    </w:rPr>
                    <w:t>Metric</w:t>
                  </w:r>
                </w:p>
              </w:tc>
              <w:tc>
                <w:tcPr>
                  <w:tcW w:w="900" w:type="dxa"/>
                  <w:shd w:val="clear" w:color="auto" w:fill="1F3B5B"/>
                  <w:tcMar>
                    <w:top w:w="55" w:type="dxa"/>
                    <w:left w:w="80" w:type="dxa"/>
                    <w:bottom w:w="55" w:type="dxa"/>
                    <w:right w:w="80" w:type="dxa"/>
                  </w:tcMar>
                </w:tcPr>
                <w:p w14:paraId="406AE7BF" w14:textId="77777777" w:rsidR="00F842B3" w:rsidRDefault="007F444F">
                  <w:pPr>
                    <w:spacing w:line="235" w:lineRule="auto"/>
                  </w:pPr>
                  <w:r>
                    <w:rPr>
                      <w:b/>
                      <w:bCs/>
                      <w:color w:val="FFFFFF"/>
                      <w:sz w:val="16"/>
                      <w:szCs w:val="16"/>
                    </w:rPr>
                    <w:t>4Q25</w:t>
                  </w:r>
                </w:p>
              </w:tc>
              <w:tc>
                <w:tcPr>
                  <w:tcW w:w="900" w:type="dxa"/>
                  <w:shd w:val="clear" w:color="auto" w:fill="1F3B5B"/>
                  <w:tcMar>
                    <w:top w:w="55" w:type="dxa"/>
                    <w:left w:w="80" w:type="dxa"/>
                    <w:bottom w:w="55" w:type="dxa"/>
                    <w:right w:w="80" w:type="dxa"/>
                  </w:tcMar>
                </w:tcPr>
                <w:p w14:paraId="406AE7C0" w14:textId="77777777" w:rsidR="00F842B3" w:rsidRDefault="007F444F">
                  <w:pPr>
                    <w:spacing w:line="235" w:lineRule="auto"/>
                  </w:pPr>
                  <w:r>
                    <w:rPr>
                      <w:b/>
                      <w:bCs/>
                      <w:color w:val="FFFFFF"/>
                      <w:sz w:val="16"/>
                      <w:szCs w:val="16"/>
                    </w:rPr>
                    <w:t>1Q26</w:t>
                  </w:r>
                </w:p>
              </w:tc>
              <w:tc>
                <w:tcPr>
                  <w:tcW w:w="800" w:type="dxa"/>
                  <w:shd w:val="clear" w:color="auto" w:fill="1F3B5B"/>
                  <w:tcMar>
                    <w:top w:w="55" w:type="dxa"/>
                    <w:left w:w="80" w:type="dxa"/>
                    <w:bottom w:w="55" w:type="dxa"/>
                    <w:right w:w="80" w:type="dxa"/>
                  </w:tcMar>
                </w:tcPr>
                <w:p w14:paraId="406AE7C1" w14:textId="77777777" w:rsidR="00F842B3" w:rsidRDefault="007F444F">
                  <w:pPr>
                    <w:spacing w:line="235" w:lineRule="auto"/>
                  </w:pPr>
                  <w:r>
                    <w:rPr>
                      <w:b/>
                      <w:bCs/>
                      <w:color w:val="FFFFFF"/>
                      <w:sz w:val="16"/>
                      <w:szCs w:val="16"/>
                    </w:rPr>
                    <w:t>QoQ Δ</w:t>
                  </w:r>
                </w:p>
              </w:tc>
            </w:tr>
            <w:tr w:rsidR="00F842B3" w14:paraId="406AE7C7" w14:textId="77777777">
              <w:tc>
                <w:tcPr>
                  <w:tcW w:w="1900" w:type="dxa"/>
                  <w:shd w:val="clear" w:color="auto" w:fill="FFFFFF"/>
                  <w:tcMar>
                    <w:top w:w="55" w:type="dxa"/>
                    <w:left w:w="80" w:type="dxa"/>
                    <w:bottom w:w="55" w:type="dxa"/>
                    <w:right w:w="80" w:type="dxa"/>
                  </w:tcMar>
                </w:tcPr>
                <w:p w14:paraId="406AE7C3" w14:textId="77777777" w:rsidR="00F842B3" w:rsidRDefault="007F444F">
                  <w:pPr>
                    <w:spacing w:line="235" w:lineRule="auto"/>
                  </w:pPr>
                  <w:r>
                    <w:rPr>
                      <w:sz w:val="16"/>
                      <w:szCs w:val="16"/>
                    </w:rPr>
                    <w:t>Committed to invest. (</w:t>
                  </w:r>
                  <w:proofErr w:type="spellStart"/>
                  <w:r>
                    <w:rPr>
                      <w:sz w:val="16"/>
                      <w:szCs w:val="16"/>
                    </w:rPr>
                    <w:t>US$bn</w:t>
                  </w:r>
                  <w:proofErr w:type="spellEnd"/>
                  <w:r>
                    <w:rPr>
                      <w:sz w:val="16"/>
                      <w:szCs w:val="16"/>
                    </w:rPr>
                    <w:t>)</w:t>
                  </w:r>
                </w:p>
              </w:tc>
              <w:tc>
                <w:tcPr>
                  <w:tcW w:w="900" w:type="dxa"/>
                  <w:shd w:val="clear" w:color="auto" w:fill="FFFFFF"/>
                  <w:tcMar>
                    <w:top w:w="55" w:type="dxa"/>
                    <w:left w:w="80" w:type="dxa"/>
                    <w:bottom w:w="55" w:type="dxa"/>
                    <w:right w:w="80" w:type="dxa"/>
                  </w:tcMar>
                </w:tcPr>
                <w:p w14:paraId="406AE7C4" w14:textId="77777777" w:rsidR="00F842B3" w:rsidRDefault="007F444F">
                  <w:pPr>
                    <w:spacing w:line="235" w:lineRule="auto"/>
                  </w:pPr>
                  <w:r>
                    <w:rPr>
                      <w:sz w:val="16"/>
                      <w:szCs w:val="16"/>
                    </w:rPr>
                    <w:t>11.7</w:t>
                  </w:r>
                </w:p>
              </w:tc>
              <w:tc>
                <w:tcPr>
                  <w:tcW w:w="900" w:type="dxa"/>
                  <w:shd w:val="clear" w:color="auto" w:fill="FFFFFF"/>
                  <w:tcMar>
                    <w:top w:w="55" w:type="dxa"/>
                    <w:left w:w="80" w:type="dxa"/>
                    <w:bottom w:w="55" w:type="dxa"/>
                    <w:right w:w="80" w:type="dxa"/>
                  </w:tcMar>
                </w:tcPr>
                <w:p w14:paraId="406AE7C5" w14:textId="77777777" w:rsidR="00F842B3" w:rsidRDefault="007F444F">
                  <w:pPr>
                    <w:spacing w:line="235" w:lineRule="auto"/>
                  </w:pPr>
                  <w:r>
                    <w:rPr>
                      <w:sz w:val="16"/>
                      <w:szCs w:val="16"/>
                    </w:rPr>
                    <w:t>12.0</w:t>
                  </w:r>
                </w:p>
              </w:tc>
              <w:tc>
                <w:tcPr>
                  <w:tcW w:w="800" w:type="dxa"/>
                  <w:shd w:val="clear" w:color="auto" w:fill="FFFFFF"/>
                  <w:tcMar>
                    <w:top w:w="55" w:type="dxa"/>
                    <w:left w:w="80" w:type="dxa"/>
                    <w:bottom w:w="55" w:type="dxa"/>
                    <w:right w:w="80" w:type="dxa"/>
                  </w:tcMar>
                </w:tcPr>
                <w:p w14:paraId="406AE7C6" w14:textId="77777777" w:rsidR="00F842B3" w:rsidRDefault="007F444F">
                  <w:pPr>
                    <w:spacing w:line="235" w:lineRule="auto"/>
                  </w:pPr>
                  <w:r>
                    <w:rPr>
                      <w:sz w:val="16"/>
                      <w:szCs w:val="16"/>
                    </w:rPr>
                    <w:t>+0.3</w:t>
                  </w:r>
                </w:p>
              </w:tc>
            </w:tr>
            <w:tr w:rsidR="00F842B3" w14:paraId="406AE7CC" w14:textId="77777777">
              <w:tc>
                <w:tcPr>
                  <w:tcW w:w="1900" w:type="dxa"/>
                  <w:shd w:val="clear" w:color="auto" w:fill="F2F5FB"/>
                  <w:tcMar>
                    <w:top w:w="55" w:type="dxa"/>
                    <w:left w:w="80" w:type="dxa"/>
                    <w:bottom w:w="55" w:type="dxa"/>
                    <w:right w:w="80" w:type="dxa"/>
                  </w:tcMar>
                </w:tcPr>
                <w:p w14:paraId="406AE7C8" w14:textId="77777777" w:rsidR="00F842B3" w:rsidRDefault="007F444F">
                  <w:pPr>
                    <w:spacing w:line="235" w:lineRule="auto"/>
                  </w:pPr>
                  <w:r>
                    <w:rPr>
                      <w:sz w:val="16"/>
                      <w:szCs w:val="16"/>
                    </w:rPr>
                    <w:t>Called capital (</w:t>
                  </w:r>
                  <w:proofErr w:type="spellStart"/>
                  <w:r>
                    <w:rPr>
                      <w:sz w:val="16"/>
                      <w:szCs w:val="16"/>
                    </w:rPr>
                    <w:t>US$bn</w:t>
                  </w:r>
                  <w:proofErr w:type="spellEnd"/>
                  <w:r>
                    <w:rPr>
                      <w:sz w:val="16"/>
                      <w:szCs w:val="16"/>
                    </w:rPr>
                    <w:t xml:space="preserve"> / %)</w:t>
                  </w:r>
                </w:p>
              </w:tc>
              <w:tc>
                <w:tcPr>
                  <w:tcW w:w="900" w:type="dxa"/>
                  <w:shd w:val="clear" w:color="auto" w:fill="F2F5FB"/>
                  <w:tcMar>
                    <w:top w:w="55" w:type="dxa"/>
                    <w:left w:w="80" w:type="dxa"/>
                    <w:bottom w:w="55" w:type="dxa"/>
                    <w:right w:w="80" w:type="dxa"/>
                  </w:tcMar>
                </w:tcPr>
                <w:p w14:paraId="406AE7C9" w14:textId="77777777" w:rsidR="00F842B3" w:rsidRDefault="007F444F">
                  <w:pPr>
                    <w:spacing w:line="235" w:lineRule="auto"/>
                  </w:pPr>
                  <w:r>
                    <w:rPr>
                      <w:sz w:val="16"/>
                      <w:szCs w:val="16"/>
                    </w:rPr>
                    <w:t>8.2 / 64%</w:t>
                  </w:r>
                </w:p>
              </w:tc>
              <w:tc>
                <w:tcPr>
                  <w:tcW w:w="900" w:type="dxa"/>
                  <w:shd w:val="clear" w:color="auto" w:fill="F2F5FB"/>
                  <w:tcMar>
                    <w:top w:w="55" w:type="dxa"/>
                    <w:left w:w="80" w:type="dxa"/>
                    <w:bottom w:w="55" w:type="dxa"/>
                    <w:right w:w="80" w:type="dxa"/>
                  </w:tcMar>
                </w:tcPr>
                <w:p w14:paraId="406AE7CA" w14:textId="77777777" w:rsidR="00F842B3" w:rsidRDefault="007F444F">
                  <w:pPr>
                    <w:spacing w:line="235" w:lineRule="auto"/>
                  </w:pPr>
                  <w:r>
                    <w:rPr>
                      <w:sz w:val="16"/>
                      <w:szCs w:val="16"/>
                    </w:rPr>
                    <w:t>8.2 / 64%</w:t>
                  </w:r>
                </w:p>
              </w:tc>
              <w:tc>
                <w:tcPr>
                  <w:tcW w:w="800" w:type="dxa"/>
                  <w:shd w:val="clear" w:color="auto" w:fill="F2F5FB"/>
                  <w:tcMar>
                    <w:top w:w="55" w:type="dxa"/>
                    <w:left w:w="80" w:type="dxa"/>
                    <w:bottom w:w="55" w:type="dxa"/>
                    <w:right w:w="80" w:type="dxa"/>
                  </w:tcMar>
                </w:tcPr>
                <w:p w14:paraId="406AE7CB" w14:textId="77777777" w:rsidR="00F842B3" w:rsidRDefault="007F444F">
                  <w:pPr>
                    <w:spacing w:line="235" w:lineRule="auto"/>
                  </w:pPr>
                  <w:r>
                    <w:rPr>
                      <w:sz w:val="16"/>
                      <w:szCs w:val="16"/>
                    </w:rPr>
                    <w:t>—</w:t>
                  </w:r>
                </w:p>
              </w:tc>
            </w:tr>
            <w:tr w:rsidR="00F842B3" w14:paraId="406AE7D1" w14:textId="77777777">
              <w:tc>
                <w:tcPr>
                  <w:tcW w:w="1900" w:type="dxa"/>
                  <w:shd w:val="clear" w:color="auto" w:fill="FFFFFF"/>
                  <w:tcMar>
                    <w:top w:w="55" w:type="dxa"/>
                    <w:left w:w="80" w:type="dxa"/>
                    <w:bottom w:w="55" w:type="dxa"/>
                    <w:right w:w="80" w:type="dxa"/>
                  </w:tcMar>
                </w:tcPr>
                <w:p w14:paraId="406AE7CD" w14:textId="77777777" w:rsidR="00F842B3" w:rsidRDefault="007F444F">
                  <w:pPr>
                    <w:spacing w:line="235" w:lineRule="auto"/>
                  </w:pPr>
                  <w:r>
                    <w:rPr>
                      <w:sz w:val="16"/>
                      <w:szCs w:val="16"/>
                    </w:rPr>
                    <w:t>GP holding value (</w:t>
                  </w:r>
                  <w:proofErr w:type="spellStart"/>
                  <w:r>
                    <w:rPr>
                      <w:sz w:val="16"/>
                      <w:szCs w:val="16"/>
                    </w:rPr>
                    <w:t>US$m</w:t>
                  </w:r>
                  <w:proofErr w:type="spellEnd"/>
                  <w:r>
                    <w:rPr>
                      <w:sz w:val="16"/>
                      <w:szCs w:val="16"/>
                    </w:rPr>
                    <w:t>)</w:t>
                  </w:r>
                </w:p>
              </w:tc>
              <w:tc>
                <w:tcPr>
                  <w:tcW w:w="900" w:type="dxa"/>
                  <w:shd w:val="clear" w:color="auto" w:fill="FFFFFF"/>
                  <w:tcMar>
                    <w:top w:w="55" w:type="dxa"/>
                    <w:left w:w="80" w:type="dxa"/>
                    <w:bottom w:w="55" w:type="dxa"/>
                    <w:right w:w="80" w:type="dxa"/>
                  </w:tcMar>
                </w:tcPr>
                <w:p w14:paraId="406AE7CE" w14:textId="77777777" w:rsidR="00F842B3" w:rsidRDefault="007F444F">
                  <w:pPr>
                    <w:spacing w:line="235" w:lineRule="auto"/>
                  </w:pPr>
                  <w:r>
                    <w:rPr>
                      <w:sz w:val="16"/>
                      <w:szCs w:val="16"/>
                    </w:rPr>
                    <w:t>13,763.6</w:t>
                  </w:r>
                </w:p>
              </w:tc>
              <w:tc>
                <w:tcPr>
                  <w:tcW w:w="900" w:type="dxa"/>
                  <w:shd w:val="clear" w:color="auto" w:fill="FFFFFF"/>
                  <w:tcMar>
                    <w:top w:w="55" w:type="dxa"/>
                    <w:left w:w="80" w:type="dxa"/>
                    <w:bottom w:w="55" w:type="dxa"/>
                    <w:right w:w="80" w:type="dxa"/>
                  </w:tcMar>
                </w:tcPr>
                <w:p w14:paraId="406AE7CF" w14:textId="77777777" w:rsidR="00F842B3" w:rsidRDefault="007F444F">
                  <w:pPr>
                    <w:spacing w:line="235" w:lineRule="auto"/>
                  </w:pPr>
                  <w:r>
                    <w:rPr>
                      <w:sz w:val="16"/>
                      <w:szCs w:val="16"/>
                    </w:rPr>
                    <w:t>13,689.5</w:t>
                  </w:r>
                </w:p>
              </w:tc>
              <w:tc>
                <w:tcPr>
                  <w:tcW w:w="800" w:type="dxa"/>
                  <w:shd w:val="clear" w:color="auto" w:fill="FFFFFF"/>
                  <w:tcMar>
                    <w:top w:w="55" w:type="dxa"/>
                    <w:left w:w="80" w:type="dxa"/>
                    <w:bottom w:w="55" w:type="dxa"/>
                    <w:right w:w="80" w:type="dxa"/>
                  </w:tcMar>
                </w:tcPr>
                <w:p w14:paraId="406AE7D0" w14:textId="77777777" w:rsidR="00F842B3" w:rsidRDefault="007F444F">
                  <w:pPr>
                    <w:spacing w:line="235" w:lineRule="auto"/>
                  </w:pPr>
                  <w:r>
                    <w:rPr>
                      <w:color w:val="C00000"/>
                      <w:sz w:val="16"/>
                      <w:szCs w:val="16"/>
                    </w:rPr>
                    <w:t>-74.1</w:t>
                  </w:r>
                </w:p>
              </w:tc>
            </w:tr>
            <w:tr w:rsidR="00F842B3" w14:paraId="406AE7D6" w14:textId="77777777">
              <w:tc>
                <w:tcPr>
                  <w:tcW w:w="1900" w:type="dxa"/>
                  <w:shd w:val="clear" w:color="auto" w:fill="F2F5FB"/>
                  <w:tcMar>
                    <w:top w:w="55" w:type="dxa"/>
                    <w:left w:w="80" w:type="dxa"/>
                    <w:bottom w:w="55" w:type="dxa"/>
                    <w:right w:w="80" w:type="dxa"/>
                  </w:tcMar>
                </w:tcPr>
                <w:p w14:paraId="406AE7D2" w14:textId="77777777" w:rsidR="00F842B3" w:rsidRDefault="007F444F">
                  <w:pPr>
                    <w:spacing w:line="235" w:lineRule="auto"/>
                  </w:pPr>
                  <w:r>
                    <w:rPr>
                      <w:sz w:val="16"/>
                      <w:szCs w:val="16"/>
                    </w:rPr>
                    <w:t>Distributions to LPs (</w:t>
                  </w:r>
                  <w:proofErr w:type="spellStart"/>
                  <w:r>
                    <w:rPr>
                      <w:sz w:val="16"/>
                      <w:szCs w:val="16"/>
                    </w:rPr>
                    <w:t>US$bn</w:t>
                  </w:r>
                  <w:proofErr w:type="spellEnd"/>
                  <w:r>
                    <w:rPr>
                      <w:sz w:val="16"/>
                      <w:szCs w:val="16"/>
                    </w:rPr>
                    <w:t>)</w:t>
                  </w:r>
                </w:p>
              </w:tc>
              <w:tc>
                <w:tcPr>
                  <w:tcW w:w="900" w:type="dxa"/>
                  <w:shd w:val="clear" w:color="auto" w:fill="F2F5FB"/>
                  <w:tcMar>
                    <w:top w:w="55" w:type="dxa"/>
                    <w:left w:w="80" w:type="dxa"/>
                    <w:bottom w:w="55" w:type="dxa"/>
                    <w:right w:w="80" w:type="dxa"/>
                  </w:tcMar>
                </w:tcPr>
                <w:p w14:paraId="406AE7D3" w14:textId="77777777" w:rsidR="00F842B3" w:rsidRDefault="007F444F">
                  <w:pPr>
                    <w:spacing w:line="235" w:lineRule="auto"/>
                  </w:pPr>
                  <w:r>
                    <w:rPr>
                      <w:sz w:val="16"/>
                      <w:szCs w:val="16"/>
                    </w:rPr>
                    <w:t>2.9</w:t>
                  </w:r>
                </w:p>
              </w:tc>
              <w:tc>
                <w:tcPr>
                  <w:tcW w:w="900" w:type="dxa"/>
                  <w:shd w:val="clear" w:color="auto" w:fill="F2F5FB"/>
                  <w:tcMar>
                    <w:top w:w="55" w:type="dxa"/>
                    <w:left w:w="80" w:type="dxa"/>
                    <w:bottom w:w="55" w:type="dxa"/>
                    <w:right w:w="80" w:type="dxa"/>
                  </w:tcMar>
                </w:tcPr>
                <w:p w14:paraId="406AE7D4" w14:textId="77777777" w:rsidR="00F842B3" w:rsidRDefault="007F444F">
                  <w:pPr>
                    <w:spacing w:line="235" w:lineRule="auto"/>
                  </w:pPr>
                  <w:r>
                    <w:rPr>
                      <w:sz w:val="16"/>
                      <w:szCs w:val="16"/>
                    </w:rPr>
                    <w:t>3.1</w:t>
                  </w:r>
                </w:p>
              </w:tc>
              <w:tc>
                <w:tcPr>
                  <w:tcW w:w="800" w:type="dxa"/>
                  <w:shd w:val="clear" w:color="auto" w:fill="F2F5FB"/>
                  <w:tcMar>
                    <w:top w:w="55" w:type="dxa"/>
                    <w:left w:w="80" w:type="dxa"/>
                    <w:bottom w:w="55" w:type="dxa"/>
                    <w:right w:w="80" w:type="dxa"/>
                  </w:tcMar>
                </w:tcPr>
                <w:p w14:paraId="406AE7D5" w14:textId="77777777" w:rsidR="00F842B3" w:rsidRDefault="007F444F">
                  <w:pPr>
                    <w:spacing w:line="235" w:lineRule="auto"/>
                  </w:pPr>
                  <w:r>
                    <w:rPr>
                      <w:sz w:val="16"/>
                      <w:szCs w:val="16"/>
                    </w:rPr>
                    <w:t>+0.2</w:t>
                  </w:r>
                </w:p>
              </w:tc>
            </w:tr>
            <w:tr w:rsidR="00F842B3" w14:paraId="406AE7DB" w14:textId="77777777">
              <w:tc>
                <w:tcPr>
                  <w:tcW w:w="1900" w:type="dxa"/>
                  <w:shd w:val="clear" w:color="auto" w:fill="FFFFFF"/>
                  <w:tcMar>
                    <w:top w:w="55" w:type="dxa"/>
                    <w:left w:w="80" w:type="dxa"/>
                    <w:bottom w:w="55" w:type="dxa"/>
                    <w:right w:w="80" w:type="dxa"/>
                  </w:tcMar>
                </w:tcPr>
                <w:p w14:paraId="406AE7D7" w14:textId="77777777" w:rsidR="00F842B3" w:rsidRDefault="007F444F">
                  <w:pPr>
                    <w:spacing w:line="235" w:lineRule="auto"/>
                  </w:pPr>
                  <w:r>
                    <w:rPr>
                      <w:sz w:val="16"/>
                      <w:szCs w:val="16"/>
                    </w:rPr>
                    <w:t>Net TVPI / DPI (x)</w:t>
                  </w:r>
                </w:p>
              </w:tc>
              <w:tc>
                <w:tcPr>
                  <w:tcW w:w="900" w:type="dxa"/>
                  <w:shd w:val="clear" w:color="auto" w:fill="FFFFFF"/>
                  <w:tcMar>
                    <w:top w:w="55" w:type="dxa"/>
                    <w:left w:w="80" w:type="dxa"/>
                    <w:bottom w:w="55" w:type="dxa"/>
                    <w:right w:w="80" w:type="dxa"/>
                  </w:tcMar>
                </w:tcPr>
                <w:p w14:paraId="406AE7D8" w14:textId="77777777" w:rsidR="00F842B3" w:rsidRDefault="007F444F">
                  <w:pPr>
                    <w:spacing w:line="235" w:lineRule="auto"/>
                  </w:pPr>
                  <w:r>
                    <w:rPr>
                      <w:sz w:val="16"/>
                      <w:szCs w:val="16"/>
                    </w:rPr>
                    <w:t>1.2 / 0.4</w:t>
                  </w:r>
                </w:p>
              </w:tc>
              <w:tc>
                <w:tcPr>
                  <w:tcW w:w="900" w:type="dxa"/>
                  <w:shd w:val="clear" w:color="auto" w:fill="FFFFFF"/>
                  <w:tcMar>
                    <w:top w:w="55" w:type="dxa"/>
                    <w:left w:w="80" w:type="dxa"/>
                    <w:bottom w:w="55" w:type="dxa"/>
                    <w:right w:w="80" w:type="dxa"/>
                  </w:tcMar>
                </w:tcPr>
                <w:p w14:paraId="406AE7D9" w14:textId="77777777" w:rsidR="00F842B3" w:rsidRDefault="007F444F">
                  <w:pPr>
                    <w:spacing w:line="235" w:lineRule="auto"/>
                  </w:pPr>
                  <w:r>
                    <w:rPr>
                      <w:sz w:val="16"/>
                      <w:szCs w:val="16"/>
                    </w:rPr>
                    <w:t>1.1 / 0.4</w:t>
                  </w:r>
                </w:p>
              </w:tc>
              <w:tc>
                <w:tcPr>
                  <w:tcW w:w="800" w:type="dxa"/>
                  <w:shd w:val="clear" w:color="auto" w:fill="FFFFFF"/>
                  <w:tcMar>
                    <w:top w:w="55" w:type="dxa"/>
                    <w:left w:w="80" w:type="dxa"/>
                    <w:bottom w:w="55" w:type="dxa"/>
                    <w:right w:w="80" w:type="dxa"/>
                  </w:tcMar>
                </w:tcPr>
                <w:p w14:paraId="406AE7DA" w14:textId="77777777" w:rsidR="00F842B3" w:rsidRDefault="007F444F">
                  <w:pPr>
                    <w:spacing w:line="235" w:lineRule="auto"/>
                  </w:pPr>
                  <w:r>
                    <w:rPr>
                      <w:color w:val="C00000"/>
                      <w:sz w:val="16"/>
                      <w:szCs w:val="16"/>
                    </w:rPr>
                    <w:t>-0.1 / —</w:t>
                  </w:r>
                </w:p>
              </w:tc>
            </w:tr>
            <w:tr w:rsidR="00F842B3" w14:paraId="406AE7E0" w14:textId="77777777">
              <w:tc>
                <w:tcPr>
                  <w:tcW w:w="1900" w:type="dxa"/>
                  <w:shd w:val="clear" w:color="auto" w:fill="F2F5FB"/>
                  <w:tcMar>
                    <w:top w:w="55" w:type="dxa"/>
                    <w:left w:w="80" w:type="dxa"/>
                    <w:bottom w:w="55" w:type="dxa"/>
                    <w:right w:w="80" w:type="dxa"/>
                  </w:tcMar>
                </w:tcPr>
                <w:p w14:paraId="406AE7DC" w14:textId="77777777" w:rsidR="00F842B3" w:rsidRDefault="007F444F">
                  <w:pPr>
                    <w:spacing w:line="235" w:lineRule="auto"/>
                  </w:pPr>
                  <w:r>
                    <w:rPr>
                      <w:sz w:val="16"/>
                      <w:szCs w:val="16"/>
                    </w:rPr>
                    <w:t>Net blended IRR (%)</w:t>
                  </w:r>
                </w:p>
              </w:tc>
              <w:tc>
                <w:tcPr>
                  <w:tcW w:w="900" w:type="dxa"/>
                  <w:shd w:val="clear" w:color="auto" w:fill="F2F5FB"/>
                  <w:tcMar>
                    <w:top w:w="55" w:type="dxa"/>
                    <w:left w:w="80" w:type="dxa"/>
                    <w:bottom w:w="55" w:type="dxa"/>
                    <w:right w:w="80" w:type="dxa"/>
                  </w:tcMar>
                </w:tcPr>
                <w:p w14:paraId="406AE7DD" w14:textId="77777777" w:rsidR="00F842B3" w:rsidRDefault="007F444F">
                  <w:pPr>
                    <w:spacing w:line="235" w:lineRule="auto"/>
                  </w:pPr>
                  <w:r>
                    <w:rPr>
                      <w:sz w:val="16"/>
                      <w:szCs w:val="16"/>
                    </w:rPr>
                    <w:t>10.7</w:t>
                  </w:r>
                </w:p>
              </w:tc>
              <w:tc>
                <w:tcPr>
                  <w:tcW w:w="900" w:type="dxa"/>
                  <w:shd w:val="clear" w:color="auto" w:fill="F2F5FB"/>
                  <w:tcMar>
                    <w:top w:w="55" w:type="dxa"/>
                    <w:left w:w="80" w:type="dxa"/>
                    <w:bottom w:w="55" w:type="dxa"/>
                    <w:right w:w="80" w:type="dxa"/>
                  </w:tcMar>
                </w:tcPr>
                <w:p w14:paraId="406AE7DE" w14:textId="77777777" w:rsidR="00F842B3" w:rsidRDefault="007F444F">
                  <w:pPr>
                    <w:spacing w:line="235" w:lineRule="auto"/>
                  </w:pPr>
                  <w:r>
                    <w:rPr>
                      <w:sz w:val="16"/>
                      <w:szCs w:val="16"/>
                    </w:rPr>
                    <w:t>7.6</w:t>
                  </w:r>
                </w:p>
              </w:tc>
              <w:tc>
                <w:tcPr>
                  <w:tcW w:w="800" w:type="dxa"/>
                  <w:shd w:val="clear" w:color="auto" w:fill="F2F5FB"/>
                  <w:tcMar>
                    <w:top w:w="55" w:type="dxa"/>
                    <w:left w:w="80" w:type="dxa"/>
                    <w:bottom w:w="55" w:type="dxa"/>
                    <w:right w:w="80" w:type="dxa"/>
                  </w:tcMar>
                </w:tcPr>
                <w:p w14:paraId="406AE7DF" w14:textId="77777777" w:rsidR="00F842B3" w:rsidRDefault="007F444F">
                  <w:pPr>
                    <w:spacing w:line="235" w:lineRule="auto"/>
                  </w:pPr>
                  <w:r>
                    <w:rPr>
                      <w:color w:val="C00000"/>
                      <w:sz w:val="16"/>
                      <w:szCs w:val="16"/>
                    </w:rPr>
                    <w:t>-3.1pp</w:t>
                  </w:r>
                </w:p>
              </w:tc>
            </w:tr>
            <w:tr w:rsidR="00F842B3" w14:paraId="406AE7E5" w14:textId="77777777">
              <w:tc>
                <w:tcPr>
                  <w:tcW w:w="1900" w:type="dxa"/>
                  <w:shd w:val="clear" w:color="auto" w:fill="FFFFFF"/>
                  <w:tcMar>
                    <w:top w:w="55" w:type="dxa"/>
                    <w:left w:w="80" w:type="dxa"/>
                    <w:bottom w:w="55" w:type="dxa"/>
                    <w:right w:w="80" w:type="dxa"/>
                  </w:tcMar>
                </w:tcPr>
                <w:p w14:paraId="406AE7E1" w14:textId="77777777" w:rsidR="00F842B3" w:rsidRDefault="007F444F">
                  <w:pPr>
                    <w:spacing w:line="235" w:lineRule="auto"/>
                  </w:pPr>
                  <w:r>
                    <w:rPr>
                      <w:sz w:val="16"/>
                      <w:szCs w:val="16"/>
                    </w:rPr>
                    <w:t>Credit facility applied (</w:t>
                  </w:r>
                  <w:proofErr w:type="spellStart"/>
                  <w:r>
                    <w:rPr>
                      <w:sz w:val="16"/>
                      <w:szCs w:val="16"/>
                    </w:rPr>
                    <w:t>US$m</w:t>
                  </w:r>
                  <w:proofErr w:type="spellEnd"/>
                  <w:r>
                    <w:rPr>
                      <w:sz w:val="16"/>
                      <w:szCs w:val="16"/>
                    </w:rPr>
                    <w:t>)</w:t>
                  </w:r>
                </w:p>
              </w:tc>
              <w:tc>
                <w:tcPr>
                  <w:tcW w:w="900" w:type="dxa"/>
                  <w:shd w:val="clear" w:color="auto" w:fill="FFFFFF"/>
                  <w:tcMar>
                    <w:top w:w="55" w:type="dxa"/>
                    <w:left w:w="80" w:type="dxa"/>
                    <w:bottom w:w="55" w:type="dxa"/>
                    <w:right w:w="80" w:type="dxa"/>
                  </w:tcMar>
                </w:tcPr>
                <w:p w14:paraId="406AE7E2" w14:textId="77777777" w:rsidR="00F842B3" w:rsidRDefault="007F444F">
                  <w:pPr>
                    <w:spacing w:line="235" w:lineRule="auto"/>
                  </w:pPr>
                  <w:r>
                    <w:rPr>
                      <w:sz w:val="16"/>
                      <w:szCs w:val="16"/>
                    </w:rPr>
                    <w:t>2,974.3</w:t>
                  </w:r>
                </w:p>
              </w:tc>
              <w:tc>
                <w:tcPr>
                  <w:tcW w:w="900" w:type="dxa"/>
                  <w:shd w:val="clear" w:color="auto" w:fill="FFFFFF"/>
                  <w:tcMar>
                    <w:top w:w="55" w:type="dxa"/>
                    <w:left w:w="80" w:type="dxa"/>
                    <w:bottom w:w="55" w:type="dxa"/>
                    <w:right w:w="80" w:type="dxa"/>
                  </w:tcMar>
                </w:tcPr>
                <w:p w14:paraId="406AE7E3" w14:textId="77777777" w:rsidR="00F842B3" w:rsidRDefault="007F444F">
                  <w:pPr>
                    <w:spacing w:line="235" w:lineRule="auto"/>
                  </w:pPr>
                  <w:r>
                    <w:rPr>
                      <w:sz w:val="16"/>
                      <w:szCs w:val="16"/>
                    </w:rPr>
                    <w:t>2,527.3</w:t>
                  </w:r>
                </w:p>
              </w:tc>
              <w:tc>
                <w:tcPr>
                  <w:tcW w:w="800" w:type="dxa"/>
                  <w:shd w:val="clear" w:color="auto" w:fill="FFFFFF"/>
                  <w:tcMar>
                    <w:top w:w="55" w:type="dxa"/>
                    <w:left w:w="80" w:type="dxa"/>
                    <w:bottom w:w="55" w:type="dxa"/>
                    <w:right w:w="80" w:type="dxa"/>
                  </w:tcMar>
                </w:tcPr>
                <w:p w14:paraId="406AE7E4" w14:textId="77777777" w:rsidR="00F842B3" w:rsidRDefault="007F444F">
                  <w:pPr>
                    <w:spacing w:line="235" w:lineRule="auto"/>
                  </w:pPr>
                  <w:r>
                    <w:rPr>
                      <w:sz w:val="16"/>
                      <w:szCs w:val="16"/>
                    </w:rPr>
                    <w:t>-447.0</w:t>
                  </w:r>
                </w:p>
              </w:tc>
            </w:tr>
          </w:tbl>
          <w:p w14:paraId="406AE7E6" w14:textId="77777777" w:rsidR="00F842B3" w:rsidRDefault="00F842B3"/>
        </w:tc>
      </w:tr>
    </w:tbl>
    <w:p w14:paraId="406AE7E8" w14:textId="77777777" w:rsidR="00F842B3" w:rsidRDefault="00F842B3">
      <w:pPr>
        <w:spacing w:after="140"/>
      </w:pPr>
    </w:p>
    <w:p w14:paraId="406AE7E9" w14:textId="77777777" w:rsidR="00F842B3" w:rsidRDefault="007F444F">
      <w:pPr>
        <w:pStyle w:val="ListParagraph"/>
        <w:numPr>
          <w:ilvl w:val="0"/>
          <w:numId w:val="1"/>
        </w:numPr>
        <w:spacing w:after="110" w:line="264" w:lineRule="auto"/>
        <w:jc w:val="both"/>
      </w:pPr>
      <w:r>
        <w:rPr>
          <w:b/>
          <w:bCs/>
        </w:rPr>
        <w:t xml:space="preserve">Quarter activity: </w:t>
      </w:r>
      <w:r>
        <w:t xml:space="preserve">exited </w:t>
      </w:r>
      <w:proofErr w:type="spellStart"/>
      <w:r>
        <w:t>WarwickRe</w:t>
      </w:r>
      <w:proofErr w:type="spellEnd"/>
      <w:r>
        <w:t xml:space="preserve"> in full via its final redemption settlement; sold part of the Lead Edge stake via tag-along rights at a premium to the mark (US$4.7m received at closing plus US$14.2m deferred through 2029; +23.7% Q1 markup); purchased an incremental ~€230.0m of CVC shares at a weighted average €12.02 per share into the drawdown. GP portfolio value fell -2.3% in the quarter after +1.8% in 4Q25.</w:t>
      </w:r>
    </w:p>
    <w:p w14:paraId="406AE7EA" w14:textId="77777777" w:rsidR="00F842B3" w:rsidRDefault="007F444F">
      <w:pPr>
        <w:pStyle w:val="ListParagraph"/>
        <w:numPr>
          <w:ilvl w:val="0"/>
          <w:numId w:val="1"/>
        </w:numPr>
        <w:spacing w:after="110" w:line="264" w:lineRule="auto"/>
        <w:jc w:val="both"/>
      </w:pPr>
      <w:r>
        <w:rPr>
          <w:b/>
          <w:bCs/>
        </w:rPr>
        <w:t xml:space="preserve">Manager commentary: </w:t>
      </w:r>
      <w:r>
        <w:t>Blue Owl argues the perceived structural decline in DPI is more nuanced — dispersion between performance quartiles is meaningfully wider than between vintages, top-5% managers keep distributing across cycles, and the depressed 2021 vintage is primarily cyclical; it sees the market shifting away from the traditional “five-year hold, five-year harvest” model toward dynamic cash-flow management. GP Stakes VI closed on approximately US$8.9bn as of 31 Mar 2026.</w:t>
      </w:r>
    </w:p>
    <w:p w14:paraId="406AE7EB" w14:textId="77777777" w:rsidR="00F842B3" w:rsidRDefault="007F444F">
      <w:pPr>
        <w:spacing w:before="30" w:after="180"/>
      </w:pPr>
      <w:r>
        <w:rPr>
          <w:color w:val="5A6B7B"/>
          <w:sz w:val="14"/>
          <w:szCs w:val="14"/>
        </w:rPr>
        <w:t>Note: Called capital and % called as reported (capital called stated as of 30 Mar 2026 in the 4Q25 letter). Net figures are LP net blended (all fee classes, excluding the SLP); the 4Q25 letter separately shows highest-fee-payer LP net IRR of 8.1%; 1Q26 net IRR excluding the credit facility is 7.1%. Credit facility applied = drawings applied to investments per the Portfolio Summary; total facility outstanding US$5,330.9m at 31 Mar 2026 (endnote 21). Source: Blue Owl, GP Stakes V Quarterly Investor Letters — 1Q26 (report date 31 Mar 2026; received 14 Aug 2026) pp. 2, 4, 6–8; 4Q25 (31 Dec 2025; received 30 Mar 2026) pp. 4, 7–8.</w:t>
      </w:r>
    </w:p>
    <w:p w14:paraId="406AE7EC" w14:textId="77777777" w:rsidR="00F842B3" w:rsidRDefault="007F444F">
      <w:pPr>
        <w:pStyle w:val="Heading2"/>
        <w:spacing w:before="200" w:after="100"/>
      </w:pPr>
      <w:r>
        <w:t>8.1.2 Portfolio composition</w:t>
      </w:r>
    </w:p>
    <w:p w14:paraId="406AE7ED" w14:textId="77777777" w:rsidR="00F842B3" w:rsidRDefault="007F444F">
      <w:pPr>
        <w:spacing w:after="140" w:line="264" w:lineRule="auto"/>
        <w:jc w:val="both"/>
      </w:pPr>
      <w:r>
        <w:lastRenderedPageBreak/>
        <w:t xml:space="preserve">Composition was stable at the asset-class level — partner-manager asset exposure is unchanged QoQ at </w:t>
      </w:r>
      <w:r>
        <w:rPr>
          <w:b/>
          <w:bCs/>
        </w:rPr>
        <w:t>43%</w:t>
      </w:r>
      <w:r>
        <w:t xml:space="preserve"> buyout, </w:t>
      </w:r>
      <w:r>
        <w:rPr>
          <w:b/>
          <w:bCs/>
        </w:rPr>
        <w:t>28%</w:t>
      </w:r>
      <w:r>
        <w:t xml:space="preserve"> real assets, </w:t>
      </w:r>
      <w:r>
        <w:rPr>
          <w:b/>
          <w:bCs/>
        </w:rPr>
        <w:t>18%</w:t>
      </w:r>
      <w:r>
        <w:t xml:space="preserve"> venture/growth and </w:t>
      </w:r>
      <w:r>
        <w:rPr>
          <w:b/>
          <w:bCs/>
        </w:rPr>
        <w:t>11%</w:t>
      </w:r>
      <w:r>
        <w:t xml:space="preserve"> private debt — and the underlying portfolio-company mix remains concentrated in </w:t>
      </w:r>
      <w:r>
        <w:rPr>
          <w:b/>
          <w:bCs/>
        </w:rPr>
        <w:t>IT (22.8%)</w:t>
      </w:r>
      <w:r>
        <w:t xml:space="preserve">, </w:t>
      </w:r>
      <w:r>
        <w:rPr>
          <w:b/>
          <w:bCs/>
        </w:rPr>
        <w:t>industrials (19.0%)</w:t>
      </w:r>
      <w:r>
        <w:t xml:space="preserve">, </w:t>
      </w:r>
      <w:r>
        <w:rPr>
          <w:b/>
          <w:bCs/>
        </w:rPr>
        <w:t>health care (13.6%)</w:t>
      </w:r>
      <w:r>
        <w:t xml:space="preserve"> and </w:t>
      </w:r>
      <w:r>
        <w:rPr>
          <w:b/>
          <w:bCs/>
        </w:rPr>
        <w:t>real estate (13.5%)</w:t>
      </w:r>
      <w:r>
        <w:t xml:space="preserve">. Movement was at the manager level: MBK's share of GP holding value fell to </w:t>
      </w:r>
      <w:r>
        <w:rPr>
          <w:b/>
          <w:bCs/>
        </w:rPr>
        <w:t>5.1%</w:t>
      </w:r>
      <w:r>
        <w:t xml:space="preserve"> from 5.9% on its markdown, CVC rose to </w:t>
      </w:r>
      <w:r>
        <w:rPr>
          <w:b/>
          <w:bCs/>
        </w:rPr>
        <w:t>8.5%</w:t>
      </w:r>
      <w:r>
        <w:t xml:space="preserve"> on the upsize, and </w:t>
      </w:r>
      <w:proofErr w:type="spellStart"/>
      <w:r>
        <w:t>WarwickRe</w:t>
      </w:r>
      <w:proofErr w:type="spellEnd"/>
      <w:r>
        <w:t xml:space="preserve"> left the book. The top-10 managers account for </w:t>
      </w:r>
      <w:r>
        <w:rPr>
          <w:b/>
          <w:bCs/>
        </w:rPr>
        <w:t>~80%</w:t>
      </w:r>
      <w:r>
        <w:t xml:space="preserve"> of the US$13.7bn GP holding value, led by </w:t>
      </w:r>
      <w:proofErr w:type="spellStart"/>
      <w:r>
        <w:t>Stonepeak</w:t>
      </w:r>
      <w:proofErr w:type="spellEnd"/>
      <w:r>
        <w:t xml:space="preserve"> (12.9%), Veritas (11.8%) and H.I.G (8.8%).</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F4" w14:textId="77777777">
        <w:tc>
          <w:tcPr>
            <w:tcW w:w="4650" w:type="dxa"/>
            <w:tcMar>
              <w:top w:w="30" w:type="dxa"/>
              <w:left w:w="50" w:type="dxa"/>
              <w:bottom w:w="30" w:type="dxa"/>
              <w:right w:w="50" w:type="dxa"/>
            </w:tcMar>
          </w:tcPr>
          <w:p w14:paraId="406AE7EE" w14:textId="77777777" w:rsidR="00F842B3" w:rsidRDefault="007F444F">
            <w:pPr>
              <w:keepNext/>
              <w:spacing w:before="60" w:after="30"/>
            </w:pPr>
            <w:r>
              <w:rPr>
                <w:b/>
                <w:bCs/>
                <w:color w:val="16283F"/>
              </w:rPr>
              <w:t>Exhibit 33: Partner manager asset exposure (1Q26)</w:t>
            </w:r>
          </w:p>
          <w:p w14:paraId="406AE7EF" w14:textId="77777777" w:rsidR="00F842B3" w:rsidRDefault="007F444F">
            <w:r>
              <w:rPr>
                <w:noProof/>
              </w:rPr>
              <w:drawing>
                <wp:inline distT="0" distB="0" distL="0" distR="0" wp14:anchorId="406AE9AB" wp14:editId="406AE9AC">
                  <wp:extent cx="2857500" cy="2333625"/>
                  <wp:effectExtent l="0" t="0" r="0" b="0"/>
                  <wp:docPr id="393952028" name="Picture 393952028">
                    <a:extLst xmlns:a="http://schemas.openxmlformats.org/drawingml/2006/main">
                      <a:ext uri="{FF2B5EF4-FFF2-40B4-BE49-F238E27FC236}">
                        <a16:creationId xmlns:a16="http://schemas.microsoft.com/office/drawing/2014/main" id="{554D8375-F76E-4E76-838B-F9E6ECDAB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2333625"/>
                          </a:xfrm>
                          <a:prstGeom prst="rect">
                            <a:avLst/>
                          </a:prstGeom>
                        </pic:spPr>
                      </pic:pic>
                    </a:graphicData>
                  </a:graphic>
                </wp:inline>
              </w:drawing>
            </w:r>
          </w:p>
          <w:p w14:paraId="406AE7F0" w14:textId="77777777" w:rsidR="00F842B3" w:rsidRDefault="007F444F">
            <w:pPr>
              <w:spacing w:before="30" w:after="40"/>
            </w:pPr>
            <w:r>
              <w:rPr>
                <w:color w:val="5A6B7B"/>
                <w:sz w:val="14"/>
                <w:szCs w:val="14"/>
              </w:rPr>
              <w:t>Note: Unchanged from 4Q25. Source: Blue Owl, GP Stakes V 1Q26 letter, 'Portfolio Diversification', p. 5.</w:t>
            </w:r>
          </w:p>
        </w:tc>
        <w:tc>
          <w:tcPr>
            <w:tcW w:w="4650" w:type="dxa"/>
            <w:tcMar>
              <w:top w:w="30" w:type="dxa"/>
              <w:left w:w="50" w:type="dxa"/>
              <w:bottom w:w="30" w:type="dxa"/>
              <w:right w:w="50" w:type="dxa"/>
            </w:tcMar>
          </w:tcPr>
          <w:p w14:paraId="406AE7F1" w14:textId="77777777" w:rsidR="00F842B3" w:rsidRDefault="007F444F">
            <w:pPr>
              <w:keepNext/>
              <w:spacing w:before="60" w:after="30"/>
            </w:pPr>
            <w:r>
              <w:rPr>
                <w:b/>
                <w:bCs/>
                <w:color w:val="16283F"/>
              </w:rPr>
              <w:t>Exhibit 34: Partner manager underlying portfolio companies (by sector)</w:t>
            </w:r>
          </w:p>
          <w:p w14:paraId="406AE7F2" w14:textId="77777777" w:rsidR="00F842B3" w:rsidRDefault="007F444F">
            <w:r>
              <w:rPr>
                <w:noProof/>
              </w:rPr>
              <w:drawing>
                <wp:inline distT="0" distB="0" distL="0" distR="0" wp14:anchorId="406AE9AD" wp14:editId="406AE9AE">
                  <wp:extent cx="2857500" cy="1704975"/>
                  <wp:effectExtent l="0" t="0" r="0" b="0"/>
                  <wp:docPr id="850566574" name="Picture 850566574">
                    <a:extLst xmlns:a="http://schemas.openxmlformats.org/drawingml/2006/main">
                      <a:ext uri="{FF2B5EF4-FFF2-40B4-BE49-F238E27FC236}">
                        <a16:creationId xmlns:a16="http://schemas.microsoft.com/office/drawing/2014/main" id="{2123E8E5-77F3-418C-A9B2-29247A3B5E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1704975"/>
                          </a:xfrm>
                          <a:prstGeom prst="rect">
                            <a:avLst/>
                          </a:prstGeom>
                        </pic:spPr>
                      </pic:pic>
                    </a:graphicData>
                  </a:graphic>
                </wp:inline>
              </w:drawing>
            </w:r>
          </w:p>
          <w:p w14:paraId="406AE7F3" w14:textId="77777777" w:rsidR="00F842B3" w:rsidRDefault="007F444F">
            <w:pPr>
              <w:spacing w:before="30" w:after="40"/>
            </w:pPr>
            <w:r>
              <w:rPr>
                <w:color w:val="5A6B7B"/>
                <w:sz w:val="14"/>
                <w:szCs w:val="14"/>
              </w:rPr>
              <w:t>Note: Underlying portfolio-company data as of 31 Dec 2025 (per source note). Source: Blue Owl, GP Stakes V 1Q26 letter, 'Portfolio Diversification', p. 5.</w:t>
            </w:r>
          </w:p>
        </w:tc>
      </w:tr>
    </w:tbl>
    <w:p w14:paraId="406AE7F5" w14:textId="77777777" w:rsidR="00F842B3" w:rsidRDefault="00F842B3">
      <w:pPr>
        <w:spacing w:after="100"/>
      </w:pP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7FC" w14:textId="77777777">
        <w:tc>
          <w:tcPr>
            <w:tcW w:w="4650" w:type="dxa"/>
            <w:tcMar>
              <w:top w:w="30" w:type="dxa"/>
              <w:left w:w="50" w:type="dxa"/>
              <w:bottom w:w="30" w:type="dxa"/>
              <w:right w:w="50" w:type="dxa"/>
            </w:tcMar>
          </w:tcPr>
          <w:p w14:paraId="406AE7F6" w14:textId="77777777" w:rsidR="00F842B3" w:rsidRDefault="007F444F">
            <w:pPr>
              <w:keepNext/>
              <w:spacing w:before="60" w:after="30"/>
            </w:pPr>
            <w:r>
              <w:rPr>
                <w:b/>
                <w:bCs/>
                <w:color w:val="16283F"/>
              </w:rPr>
              <w:t>Exhibit 35: GP holding value by partner manager (1Q26)</w:t>
            </w:r>
          </w:p>
          <w:p w14:paraId="406AE7F7" w14:textId="77777777" w:rsidR="00F842B3" w:rsidRDefault="007F444F">
            <w:r>
              <w:rPr>
                <w:noProof/>
              </w:rPr>
              <w:drawing>
                <wp:inline distT="0" distB="0" distL="0" distR="0" wp14:anchorId="406AE9AF" wp14:editId="406AE9B0">
                  <wp:extent cx="2857500" cy="2486025"/>
                  <wp:effectExtent l="0" t="0" r="0" b="0"/>
                  <wp:docPr id="1637933541" name="Picture 1637933541">
                    <a:extLst xmlns:a="http://schemas.openxmlformats.org/drawingml/2006/main">
                      <a:ext uri="{FF2B5EF4-FFF2-40B4-BE49-F238E27FC236}">
                        <a16:creationId xmlns:a16="http://schemas.microsoft.com/office/drawing/2014/main" id="{37DDED39-CA37-4299-B2EB-C5E869F97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857500" cy="2486025"/>
                          </a:xfrm>
                          <a:prstGeom prst="rect">
                            <a:avLst/>
                          </a:prstGeom>
                        </pic:spPr>
                      </pic:pic>
                    </a:graphicData>
                  </a:graphic>
                </wp:inline>
              </w:drawing>
            </w:r>
          </w:p>
          <w:p w14:paraId="406AE7F8" w14:textId="77777777" w:rsidR="00F842B3" w:rsidRDefault="007F444F">
            <w:pPr>
              <w:spacing w:before="30" w:after="40"/>
            </w:pPr>
            <w:r>
              <w:rPr>
                <w:color w:val="5A6B7B"/>
                <w:sz w:val="14"/>
                <w:szCs w:val="14"/>
              </w:rPr>
              <w:t xml:space="preserve">Note: Shares of the US$13.7bn GP holding value as labelled in the source chart; </w:t>
            </w:r>
            <w:proofErr w:type="spellStart"/>
            <w:r>
              <w:rPr>
                <w:color w:val="5A6B7B"/>
                <w:sz w:val="14"/>
                <w:szCs w:val="14"/>
              </w:rPr>
              <w:t>WarwickRe</w:t>
            </w:r>
            <w:proofErr w:type="spellEnd"/>
            <w:r>
              <w:rPr>
                <w:color w:val="5A6B7B"/>
                <w:sz w:val="14"/>
                <w:szCs w:val="14"/>
              </w:rPr>
              <w:t xml:space="preserve"> 0.0% (realized in Jan 2026). Source: Blue Owl, GP Stakes V 1Q26 letter, 'GP Holding Value', p. 6.</w:t>
            </w:r>
          </w:p>
        </w:tc>
        <w:tc>
          <w:tcPr>
            <w:tcW w:w="4650" w:type="dxa"/>
            <w:tcMar>
              <w:top w:w="30" w:type="dxa"/>
              <w:left w:w="50" w:type="dxa"/>
              <w:bottom w:w="30" w:type="dxa"/>
              <w:right w:w="50" w:type="dxa"/>
            </w:tcMar>
          </w:tcPr>
          <w:p w14:paraId="406AE7F9" w14:textId="77777777" w:rsidR="00F842B3" w:rsidRDefault="007F444F">
            <w:pPr>
              <w:keepNext/>
              <w:spacing w:before="60" w:after="30"/>
            </w:pPr>
            <w:r>
              <w:rPr>
                <w:b/>
                <w:bCs/>
                <w:color w:val="16283F"/>
              </w:rPr>
              <w:t>Exhibit 36: Net TVPI progression (LP net blended)</w:t>
            </w:r>
          </w:p>
          <w:p w14:paraId="406AE7FA" w14:textId="77777777" w:rsidR="00F842B3" w:rsidRDefault="007F444F">
            <w:r>
              <w:rPr>
                <w:noProof/>
              </w:rPr>
              <w:drawing>
                <wp:inline distT="0" distB="0" distL="0" distR="0" wp14:anchorId="406AE9B1" wp14:editId="406AE9B2">
                  <wp:extent cx="2857500" cy="2105025"/>
                  <wp:effectExtent l="0" t="0" r="0" b="0"/>
                  <wp:docPr id="1935149220" name="Picture 1935149220">
                    <a:extLst xmlns:a="http://schemas.openxmlformats.org/drawingml/2006/main">
                      <a:ext uri="{FF2B5EF4-FFF2-40B4-BE49-F238E27FC236}">
                        <a16:creationId xmlns:a16="http://schemas.microsoft.com/office/drawing/2014/main" id="{57DBD473-F542-4696-B54D-BB5DAE54EE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857500" cy="2105025"/>
                          </a:xfrm>
                          <a:prstGeom prst="rect">
                            <a:avLst/>
                          </a:prstGeom>
                        </pic:spPr>
                      </pic:pic>
                    </a:graphicData>
                  </a:graphic>
                </wp:inline>
              </w:drawing>
            </w:r>
          </w:p>
          <w:p w14:paraId="406AE7FB" w14:textId="77777777" w:rsidR="00F842B3" w:rsidRDefault="007F444F">
            <w:pPr>
              <w:spacing w:before="30" w:after="40"/>
            </w:pPr>
            <w:r>
              <w:rPr>
                <w:color w:val="5A6B7B"/>
                <w:sz w:val="14"/>
                <w:szCs w:val="14"/>
              </w:rPr>
              <w:t>Note: DPI + RVPI stacks as reported; totals as labelled in the source chart. Source: Blue Owl, GP Stakes V letters, 'Fund Overview' (1Q26 p. 4; 4Q25 p. 4).</w:t>
            </w:r>
          </w:p>
        </w:tc>
      </w:tr>
    </w:tbl>
    <w:p w14:paraId="406AE7FD" w14:textId="77777777" w:rsidR="00F842B3" w:rsidRDefault="00F842B3">
      <w:pPr>
        <w:spacing w:after="100"/>
      </w:pPr>
    </w:p>
    <w:p w14:paraId="406AE7FE" w14:textId="77777777" w:rsidR="00F842B3" w:rsidRDefault="007F444F">
      <w:pPr>
        <w:keepNext/>
        <w:spacing w:before="60" w:after="30"/>
      </w:pPr>
      <w:r>
        <w:rPr>
          <w:b/>
          <w:bCs/>
          <w:color w:val="16283F"/>
        </w:rPr>
        <w:t>Exhibit 37: Composition QoQ — by asset class and by partner manager (share of GP holding value)</w:t>
      </w:r>
    </w:p>
    <w:tbl>
      <w:tblPr>
        <w:tblW w:w="8060" w:type="dxa"/>
        <w:tblCellMar>
          <w:left w:w="10" w:type="dxa"/>
          <w:right w:w="10" w:type="dxa"/>
        </w:tblCellMar>
        <w:tblLook w:val="04A0" w:firstRow="1" w:lastRow="0" w:firstColumn="1" w:lastColumn="0" w:noHBand="0" w:noVBand="1"/>
      </w:tblPr>
      <w:tblGrid>
        <w:gridCol w:w="3790"/>
        <w:gridCol w:w="4290"/>
      </w:tblGrid>
      <w:tr w:rsidR="00F842B3" w14:paraId="406AE851" w14:textId="77777777">
        <w:tc>
          <w:tcPr>
            <w:tcW w:w="3700" w:type="dxa"/>
            <w:tcMar>
              <w:top w:w="20" w:type="dxa"/>
              <w:left w:w="40" w:type="dxa"/>
              <w:bottom w:w="20" w:type="dxa"/>
              <w:right w:w="40" w:type="dxa"/>
            </w:tcMar>
          </w:tcPr>
          <w:tbl>
            <w:tblPr>
              <w:tblW w:w="3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750"/>
              <w:gridCol w:w="750"/>
              <w:gridCol w:w="750"/>
            </w:tblGrid>
            <w:tr w:rsidR="00F842B3" w14:paraId="406AE803" w14:textId="77777777">
              <w:trPr>
                <w:tblHeader/>
              </w:trPr>
              <w:tc>
                <w:tcPr>
                  <w:tcW w:w="1450" w:type="dxa"/>
                  <w:shd w:val="clear" w:color="auto" w:fill="1F3B5B"/>
                  <w:tcMar>
                    <w:top w:w="55" w:type="dxa"/>
                    <w:left w:w="80" w:type="dxa"/>
                    <w:bottom w:w="55" w:type="dxa"/>
                    <w:right w:w="80" w:type="dxa"/>
                  </w:tcMar>
                </w:tcPr>
                <w:p w14:paraId="406AE7FF" w14:textId="77777777" w:rsidR="00F842B3" w:rsidRDefault="007F444F">
                  <w:pPr>
                    <w:spacing w:line="235" w:lineRule="auto"/>
                  </w:pPr>
                  <w:r>
                    <w:rPr>
                      <w:b/>
                      <w:bCs/>
                      <w:color w:val="FFFFFF"/>
                      <w:sz w:val="16"/>
                      <w:szCs w:val="16"/>
                    </w:rPr>
                    <w:t>Asset class</w:t>
                  </w:r>
                </w:p>
              </w:tc>
              <w:tc>
                <w:tcPr>
                  <w:tcW w:w="750" w:type="dxa"/>
                  <w:shd w:val="clear" w:color="auto" w:fill="1F3B5B"/>
                  <w:tcMar>
                    <w:top w:w="55" w:type="dxa"/>
                    <w:left w:w="80" w:type="dxa"/>
                    <w:bottom w:w="55" w:type="dxa"/>
                    <w:right w:w="80" w:type="dxa"/>
                  </w:tcMar>
                </w:tcPr>
                <w:p w14:paraId="406AE800" w14:textId="77777777" w:rsidR="00F842B3" w:rsidRDefault="007F444F">
                  <w:pPr>
                    <w:spacing w:line="235" w:lineRule="auto"/>
                  </w:pPr>
                  <w:r>
                    <w:rPr>
                      <w:b/>
                      <w:bCs/>
                      <w:color w:val="FFFFFF"/>
                      <w:sz w:val="16"/>
                      <w:szCs w:val="16"/>
                    </w:rPr>
                    <w:t>4Q25</w:t>
                  </w:r>
                </w:p>
              </w:tc>
              <w:tc>
                <w:tcPr>
                  <w:tcW w:w="750" w:type="dxa"/>
                  <w:shd w:val="clear" w:color="auto" w:fill="1F3B5B"/>
                  <w:tcMar>
                    <w:top w:w="55" w:type="dxa"/>
                    <w:left w:w="80" w:type="dxa"/>
                    <w:bottom w:w="55" w:type="dxa"/>
                    <w:right w:w="80" w:type="dxa"/>
                  </w:tcMar>
                </w:tcPr>
                <w:p w14:paraId="406AE801" w14:textId="77777777" w:rsidR="00F842B3" w:rsidRDefault="007F444F">
                  <w:pPr>
                    <w:spacing w:line="235" w:lineRule="auto"/>
                  </w:pPr>
                  <w:r>
                    <w:rPr>
                      <w:b/>
                      <w:bCs/>
                      <w:color w:val="FFFFFF"/>
                      <w:sz w:val="16"/>
                      <w:szCs w:val="16"/>
                    </w:rPr>
                    <w:t>1Q26</w:t>
                  </w:r>
                </w:p>
              </w:tc>
              <w:tc>
                <w:tcPr>
                  <w:tcW w:w="750" w:type="dxa"/>
                  <w:shd w:val="clear" w:color="auto" w:fill="1F3B5B"/>
                  <w:tcMar>
                    <w:top w:w="55" w:type="dxa"/>
                    <w:left w:w="80" w:type="dxa"/>
                    <w:bottom w:w="55" w:type="dxa"/>
                    <w:right w:w="80" w:type="dxa"/>
                  </w:tcMar>
                </w:tcPr>
                <w:p w14:paraId="406AE802" w14:textId="77777777" w:rsidR="00F842B3" w:rsidRDefault="007F444F">
                  <w:pPr>
                    <w:spacing w:line="235" w:lineRule="auto"/>
                  </w:pPr>
                  <w:r>
                    <w:rPr>
                      <w:b/>
                      <w:bCs/>
                      <w:color w:val="FFFFFF"/>
                      <w:sz w:val="16"/>
                      <w:szCs w:val="16"/>
                    </w:rPr>
                    <w:t>QoQ Δ</w:t>
                  </w:r>
                </w:p>
              </w:tc>
            </w:tr>
            <w:tr w:rsidR="00F842B3" w14:paraId="406AE808" w14:textId="77777777">
              <w:tc>
                <w:tcPr>
                  <w:tcW w:w="1450" w:type="dxa"/>
                  <w:shd w:val="clear" w:color="auto" w:fill="FFFFFF"/>
                  <w:tcMar>
                    <w:top w:w="55" w:type="dxa"/>
                    <w:left w:w="80" w:type="dxa"/>
                    <w:bottom w:w="55" w:type="dxa"/>
                    <w:right w:w="80" w:type="dxa"/>
                  </w:tcMar>
                </w:tcPr>
                <w:p w14:paraId="406AE804" w14:textId="77777777" w:rsidR="00F842B3" w:rsidRDefault="007F444F">
                  <w:pPr>
                    <w:spacing w:line="235" w:lineRule="auto"/>
                  </w:pPr>
                  <w:r>
                    <w:rPr>
                      <w:sz w:val="16"/>
                      <w:szCs w:val="16"/>
                    </w:rPr>
                    <w:t>Buyout</w:t>
                  </w:r>
                </w:p>
              </w:tc>
              <w:tc>
                <w:tcPr>
                  <w:tcW w:w="750" w:type="dxa"/>
                  <w:shd w:val="clear" w:color="auto" w:fill="FFFFFF"/>
                  <w:tcMar>
                    <w:top w:w="55" w:type="dxa"/>
                    <w:left w:w="80" w:type="dxa"/>
                    <w:bottom w:w="55" w:type="dxa"/>
                    <w:right w:w="80" w:type="dxa"/>
                  </w:tcMar>
                </w:tcPr>
                <w:p w14:paraId="406AE805" w14:textId="77777777" w:rsidR="00F842B3" w:rsidRDefault="007F444F">
                  <w:pPr>
                    <w:spacing w:line="235" w:lineRule="auto"/>
                  </w:pPr>
                  <w:r>
                    <w:rPr>
                      <w:sz w:val="16"/>
                      <w:szCs w:val="16"/>
                    </w:rPr>
                    <w:t>43%</w:t>
                  </w:r>
                </w:p>
              </w:tc>
              <w:tc>
                <w:tcPr>
                  <w:tcW w:w="750" w:type="dxa"/>
                  <w:shd w:val="clear" w:color="auto" w:fill="FFFFFF"/>
                  <w:tcMar>
                    <w:top w:w="55" w:type="dxa"/>
                    <w:left w:w="80" w:type="dxa"/>
                    <w:bottom w:w="55" w:type="dxa"/>
                    <w:right w:w="80" w:type="dxa"/>
                  </w:tcMar>
                </w:tcPr>
                <w:p w14:paraId="406AE806" w14:textId="77777777" w:rsidR="00F842B3" w:rsidRDefault="007F444F">
                  <w:pPr>
                    <w:spacing w:line="235" w:lineRule="auto"/>
                  </w:pPr>
                  <w:r>
                    <w:rPr>
                      <w:sz w:val="16"/>
                      <w:szCs w:val="16"/>
                    </w:rPr>
                    <w:t>43%</w:t>
                  </w:r>
                </w:p>
              </w:tc>
              <w:tc>
                <w:tcPr>
                  <w:tcW w:w="750" w:type="dxa"/>
                  <w:shd w:val="clear" w:color="auto" w:fill="FFFFFF"/>
                  <w:tcMar>
                    <w:top w:w="55" w:type="dxa"/>
                    <w:left w:w="80" w:type="dxa"/>
                    <w:bottom w:w="55" w:type="dxa"/>
                    <w:right w:w="80" w:type="dxa"/>
                  </w:tcMar>
                </w:tcPr>
                <w:p w14:paraId="406AE807" w14:textId="77777777" w:rsidR="00F842B3" w:rsidRDefault="007F444F">
                  <w:pPr>
                    <w:spacing w:line="235" w:lineRule="auto"/>
                  </w:pPr>
                  <w:r>
                    <w:rPr>
                      <w:sz w:val="16"/>
                      <w:szCs w:val="16"/>
                    </w:rPr>
                    <w:t>—</w:t>
                  </w:r>
                </w:p>
              </w:tc>
            </w:tr>
            <w:tr w:rsidR="00F842B3" w14:paraId="406AE80D" w14:textId="77777777">
              <w:tc>
                <w:tcPr>
                  <w:tcW w:w="1450" w:type="dxa"/>
                  <w:shd w:val="clear" w:color="auto" w:fill="F2F5FB"/>
                  <w:tcMar>
                    <w:top w:w="55" w:type="dxa"/>
                    <w:left w:w="80" w:type="dxa"/>
                    <w:bottom w:w="55" w:type="dxa"/>
                    <w:right w:w="80" w:type="dxa"/>
                  </w:tcMar>
                </w:tcPr>
                <w:p w14:paraId="406AE809" w14:textId="77777777" w:rsidR="00F842B3" w:rsidRDefault="007F444F">
                  <w:pPr>
                    <w:spacing w:line="235" w:lineRule="auto"/>
                  </w:pPr>
                  <w:r>
                    <w:rPr>
                      <w:sz w:val="16"/>
                      <w:szCs w:val="16"/>
                    </w:rPr>
                    <w:t>Real Assets</w:t>
                  </w:r>
                </w:p>
              </w:tc>
              <w:tc>
                <w:tcPr>
                  <w:tcW w:w="750" w:type="dxa"/>
                  <w:shd w:val="clear" w:color="auto" w:fill="F2F5FB"/>
                  <w:tcMar>
                    <w:top w:w="55" w:type="dxa"/>
                    <w:left w:w="80" w:type="dxa"/>
                    <w:bottom w:w="55" w:type="dxa"/>
                    <w:right w:w="80" w:type="dxa"/>
                  </w:tcMar>
                </w:tcPr>
                <w:p w14:paraId="406AE80A" w14:textId="77777777" w:rsidR="00F842B3" w:rsidRDefault="007F444F">
                  <w:pPr>
                    <w:spacing w:line="235" w:lineRule="auto"/>
                  </w:pPr>
                  <w:r>
                    <w:rPr>
                      <w:sz w:val="16"/>
                      <w:szCs w:val="16"/>
                    </w:rPr>
                    <w:t>28%</w:t>
                  </w:r>
                </w:p>
              </w:tc>
              <w:tc>
                <w:tcPr>
                  <w:tcW w:w="750" w:type="dxa"/>
                  <w:shd w:val="clear" w:color="auto" w:fill="F2F5FB"/>
                  <w:tcMar>
                    <w:top w:w="55" w:type="dxa"/>
                    <w:left w:w="80" w:type="dxa"/>
                    <w:bottom w:w="55" w:type="dxa"/>
                    <w:right w:w="80" w:type="dxa"/>
                  </w:tcMar>
                </w:tcPr>
                <w:p w14:paraId="406AE80B" w14:textId="77777777" w:rsidR="00F842B3" w:rsidRDefault="007F444F">
                  <w:pPr>
                    <w:spacing w:line="235" w:lineRule="auto"/>
                  </w:pPr>
                  <w:r>
                    <w:rPr>
                      <w:sz w:val="16"/>
                      <w:szCs w:val="16"/>
                    </w:rPr>
                    <w:t>28%</w:t>
                  </w:r>
                </w:p>
              </w:tc>
              <w:tc>
                <w:tcPr>
                  <w:tcW w:w="750" w:type="dxa"/>
                  <w:shd w:val="clear" w:color="auto" w:fill="F2F5FB"/>
                  <w:tcMar>
                    <w:top w:w="55" w:type="dxa"/>
                    <w:left w:w="80" w:type="dxa"/>
                    <w:bottom w:w="55" w:type="dxa"/>
                    <w:right w:w="80" w:type="dxa"/>
                  </w:tcMar>
                </w:tcPr>
                <w:p w14:paraId="406AE80C" w14:textId="77777777" w:rsidR="00F842B3" w:rsidRDefault="007F444F">
                  <w:pPr>
                    <w:spacing w:line="235" w:lineRule="auto"/>
                  </w:pPr>
                  <w:r>
                    <w:rPr>
                      <w:sz w:val="16"/>
                      <w:szCs w:val="16"/>
                    </w:rPr>
                    <w:t>—</w:t>
                  </w:r>
                </w:p>
              </w:tc>
            </w:tr>
            <w:tr w:rsidR="00F842B3" w14:paraId="406AE812" w14:textId="77777777">
              <w:tc>
                <w:tcPr>
                  <w:tcW w:w="1450" w:type="dxa"/>
                  <w:shd w:val="clear" w:color="auto" w:fill="FFFFFF"/>
                  <w:tcMar>
                    <w:top w:w="55" w:type="dxa"/>
                    <w:left w:w="80" w:type="dxa"/>
                    <w:bottom w:w="55" w:type="dxa"/>
                    <w:right w:w="80" w:type="dxa"/>
                  </w:tcMar>
                </w:tcPr>
                <w:p w14:paraId="406AE80E" w14:textId="77777777" w:rsidR="00F842B3" w:rsidRDefault="007F444F">
                  <w:pPr>
                    <w:spacing w:line="235" w:lineRule="auto"/>
                  </w:pPr>
                  <w:r>
                    <w:rPr>
                      <w:sz w:val="16"/>
                      <w:szCs w:val="16"/>
                    </w:rPr>
                    <w:t>Venture / Growth</w:t>
                  </w:r>
                </w:p>
              </w:tc>
              <w:tc>
                <w:tcPr>
                  <w:tcW w:w="750" w:type="dxa"/>
                  <w:shd w:val="clear" w:color="auto" w:fill="FFFFFF"/>
                  <w:tcMar>
                    <w:top w:w="55" w:type="dxa"/>
                    <w:left w:w="80" w:type="dxa"/>
                    <w:bottom w:w="55" w:type="dxa"/>
                    <w:right w:w="80" w:type="dxa"/>
                  </w:tcMar>
                </w:tcPr>
                <w:p w14:paraId="406AE80F" w14:textId="77777777" w:rsidR="00F842B3" w:rsidRDefault="007F444F">
                  <w:pPr>
                    <w:spacing w:line="235" w:lineRule="auto"/>
                  </w:pPr>
                  <w:r>
                    <w:rPr>
                      <w:sz w:val="16"/>
                      <w:szCs w:val="16"/>
                    </w:rPr>
                    <w:t>18%</w:t>
                  </w:r>
                </w:p>
              </w:tc>
              <w:tc>
                <w:tcPr>
                  <w:tcW w:w="750" w:type="dxa"/>
                  <w:shd w:val="clear" w:color="auto" w:fill="FFFFFF"/>
                  <w:tcMar>
                    <w:top w:w="55" w:type="dxa"/>
                    <w:left w:w="80" w:type="dxa"/>
                    <w:bottom w:w="55" w:type="dxa"/>
                    <w:right w:w="80" w:type="dxa"/>
                  </w:tcMar>
                </w:tcPr>
                <w:p w14:paraId="406AE810" w14:textId="77777777" w:rsidR="00F842B3" w:rsidRDefault="007F444F">
                  <w:pPr>
                    <w:spacing w:line="235" w:lineRule="auto"/>
                  </w:pPr>
                  <w:r>
                    <w:rPr>
                      <w:sz w:val="16"/>
                      <w:szCs w:val="16"/>
                    </w:rPr>
                    <w:t>18%</w:t>
                  </w:r>
                </w:p>
              </w:tc>
              <w:tc>
                <w:tcPr>
                  <w:tcW w:w="750" w:type="dxa"/>
                  <w:shd w:val="clear" w:color="auto" w:fill="FFFFFF"/>
                  <w:tcMar>
                    <w:top w:w="55" w:type="dxa"/>
                    <w:left w:w="80" w:type="dxa"/>
                    <w:bottom w:w="55" w:type="dxa"/>
                    <w:right w:w="80" w:type="dxa"/>
                  </w:tcMar>
                </w:tcPr>
                <w:p w14:paraId="406AE811" w14:textId="77777777" w:rsidR="00F842B3" w:rsidRDefault="007F444F">
                  <w:pPr>
                    <w:spacing w:line="235" w:lineRule="auto"/>
                  </w:pPr>
                  <w:r>
                    <w:rPr>
                      <w:sz w:val="16"/>
                      <w:szCs w:val="16"/>
                    </w:rPr>
                    <w:t>—</w:t>
                  </w:r>
                </w:p>
              </w:tc>
            </w:tr>
            <w:tr w:rsidR="00F842B3" w14:paraId="406AE817" w14:textId="77777777">
              <w:tc>
                <w:tcPr>
                  <w:tcW w:w="1450" w:type="dxa"/>
                  <w:shd w:val="clear" w:color="auto" w:fill="F2F5FB"/>
                  <w:tcMar>
                    <w:top w:w="55" w:type="dxa"/>
                    <w:left w:w="80" w:type="dxa"/>
                    <w:bottom w:w="55" w:type="dxa"/>
                    <w:right w:w="80" w:type="dxa"/>
                  </w:tcMar>
                </w:tcPr>
                <w:p w14:paraId="406AE813" w14:textId="77777777" w:rsidR="00F842B3" w:rsidRDefault="007F444F">
                  <w:pPr>
                    <w:spacing w:line="235" w:lineRule="auto"/>
                  </w:pPr>
                  <w:r>
                    <w:rPr>
                      <w:sz w:val="16"/>
                      <w:szCs w:val="16"/>
                    </w:rPr>
                    <w:t>Private Debt</w:t>
                  </w:r>
                </w:p>
              </w:tc>
              <w:tc>
                <w:tcPr>
                  <w:tcW w:w="750" w:type="dxa"/>
                  <w:shd w:val="clear" w:color="auto" w:fill="F2F5FB"/>
                  <w:tcMar>
                    <w:top w:w="55" w:type="dxa"/>
                    <w:left w:w="80" w:type="dxa"/>
                    <w:bottom w:w="55" w:type="dxa"/>
                    <w:right w:w="80" w:type="dxa"/>
                  </w:tcMar>
                </w:tcPr>
                <w:p w14:paraId="406AE814" w14:textId="77777777" w:rsidR="00F842B3" w:rsidRDefault="007F444F">
                  <w:pPr>
                    <w:spacing w:line="235" w:lineRule="auto"/>
                  </w:pPr>
                  <w:r>
                    <w:rPr>
                      <w:sz w:val="16"/>
                      <w:szCs w:val="16"/>
                    </w:rPr>
                    <w:t>11%</w:t>
                  </w:r>
                </w:p>
              </w:tc>
              <w:tc>
                <w:tcPr>
                  <w:tcW w:w="750" w:type="dxa"/>
                  <w:shd w:val="clear" w:color="auto" w:fill="F2F5FB"/>
                  <w:tcMar>
                    <w:top w:w="55" w:type="dxa"/>
                    <w:left w:w="80" w:type="dxa"/>
                    <w:bottom w:w="55" w:type="dxa"/>
                    <w:right w:w="80" w:type="dxa"/>
                  </w:tcMar>
                </w:tcPr>
                <w:p w14:paraId="406AE815" w14:textId="77777777" w:rsidR="00F842B3" w:rsidRDefault="007F444F">
                  <w:pPr>
                    <w:spacing w:line="235" w:lineRule="auto"/>
                  </w:pPr>
                  <w:r>
                    <w:rPr>
                      <w:sz w:val="16"/>
                      <w:szCs w:val="16"/>
                    </w:rPr>
                    <w:t>11%</w:t>
                  </w:r>
                </w:p>
              </w:tc>
              <w:tc>
                <w:tcPr>
                  <w:tcW w:w="750" w:type="dxa"/>
                  <w:shd w:val="clear" w:color="auto" w:fill="F2F5FB"/>
                  <w:tcMar>
                    <w:top w:w="55" w:type="dxa"/>
                    <w:left w:w="80" w:type="dxa"/>
                    <w:bottom w:w="55" w:type="dxa"/>
                    <w:right w:w="80" w:type="dxa"/>
                  </w:tcMar>
                </w:tcPr>
                <w:p w14:paraId="406AE816" w14:textId="77777777" w:rsidR="00F842B3" w:rsidRDefault="007F444F">
                  <w:pPr>
                    <w:spacing w:line="235" w:lineRule="auto"/>
                  </w:pPr>
                  <w:r>
                    <w:rPr>
                      <w:sz w:val="16"/>
                      <w:szCs w:val="16"/>
                    </w:rPr>
                    <w:t>—</w:t>
                  </w:r>
                </w:p>
              </w:tc>
            </w:tr>
          </w:tbl>
          <w:p w14:paraId="406AE818" w14:textId="77777777" w:rsidR="00F842B3" w:rsidRDefault="00F842B3"/>
        </w:tc>
        <w:tc>
          <w:tcPr>
            <w:tcW w:w="4200" w:type="dxa"/>
            <w:tcMar>
              <w:top w:w="20" w:type="dxa"/>
              <w:left w:w="40" w:type="dxa"/>
              <w:bottom w:w="20" w:type="dxa"/>
              <w:right w:w="40" w:type="dxa"/>
            </w:tcMar>
          </w:tcPr>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900"/>
              <w:gridCol w:w="800"/>
            </w:tblGrid>
            <w:tr w:rsidR="00F842B3" w14:paraId="406AE81D" w14:textId="77777777">
              <w:trPr>
                <w:tblHeader/>
              </w:trPr>
              <w:tc>
                <w:tcPr>
                  <w:tcW w:w="1600" w:type="dxa"/>
                  <w:shd w:val="clear" w:color="auto" w:fill="1F3B5B"/>
                  <w:tcMar>
                    <w:top w:w="55" w:type="dxa"/>
                    <w:left w:w="80" w:type="dxa"/>
                    <w:bottom w:w="55" w:type="dxa"/>
                    <w:right w:w="80" w:type="dxa"/>
                  </w:tcMar>
                </w:tcPr>
                <w:p w14:paraId="406AE819" w14:textId="77777777" w:rsidR="00F842B3" w:rsidRDefault="007F444F">
                  <w:pPr>
                    <w:spacing w:line="235" w:lineRule="auto"/>
                  </w:pPr>
                  <w:r>
                    <w:rPr>
                      <w:b/>
                      <w:bCs/>
                      <w:color w:val="FFFFFF"/>
                      <w:sz w:val="16"/>
                      <w:szCs w:val="16"/>
                    </w:rPr>
                    <w:t>Partner manager</w:t>
                  </w:r>
                </w:p>
              </w:tc>
              <w:tc>
                <w:tcPr>
                  <w:tcW w:w="900" w:type="dxa"/>
                  <w:shd w:val="clear" w:color="auto" w:fill="1F3B5B"/>
                  <w:tcMar>
                    <w:top w:w="55" w:type="dxa"/>
                    <w:left w:w="80" w:type="dxa"/>
                    <w:bottom w:w="55" w:type="dxa"/>
                    <w:right w:w="80" w:type="dxa"/>
                  </w:tcMar>
                </w:tcPr>
                <w:p w14:paraId="406AE81A" w14:textId="77777777" w:rsidR="00F842B3" w:rsidRDefault="007F444F">
                  <w:pPr>
                    <w:spacing w:line="235" w:lineRule="auto"/>
                  </w:pPr>
                  <w:r>
                    <w:rPr>
                      <w:b/>
                      <w:bCs/>
                      <w:color w:val="FFFFFF"/>
                      <w:sz w:val="16"/>
                      <w:szCs w:val="16"/>
                    </w:rPr>
                    <w:t>4Q25</w:t>
                  </w:r>
                </w:p>
              </w:tc>
              <w:tc>
                <w:tcPr>
                  <w:tcW w:w="900" w:type="dxa"/>
                  <w:shd w:val="clear" w:color="auto" w:fill="1F3B5B"/>
                  <w:tcMar>
                    <w:top w:w="55" w:type="dxa"/>
                    <w:left w:w="80" w:type="dxa"/>
                    <w:bottom w:w="55" w:type="dxa"/>
                    <w:right w:w="80" w:type="dxa"/>
                  </w:tcMar>
                </w:tcPr>
                <w:p w14:paraId="406AE81B" w14:textId="77777777" w:rsidR="00F842B3" w:rsidRDefault="007F444F">
                  <w:pPr>
                    <w:spacing w:line="235" w:lineRule="auto"/>
                  </w:pPr>
                  <w:r>
                    <w:rPr>
                      <w:b/>
                      <w:bCs/>
                      <w:color w:val="FFFFFF"/>
                      <w:sz w:val="16"/>
                      <w:szCs w:val="16"/>
                    </w:rPr>
                    <w:t>1Q26</w:t>
                  </w:r>
                </w:p>
              </w:tc>
              <w:tc>
                <w:tcPr>
                  <w:tcW w:w="800" w:type="dxa"/>
                  <w:shd w:val="clear" w:color="auto" w:fill="1F3B5B"/>
                  <w:tcMar>
                    <w:top w:w="55" w:type="dxa"/>
                    <w:left w:w="80" w:type="dxa"/>
                    <w:bottom w:w="55" w:type="dxa"/>
                    <w:right w:w="80" w:type="dxa"/>
                  </w:tcMar>
                </w:tcPr>
                <w:p w14:paraId="406AE81C" w14:textId="77777777" w:rsidR="00F842B3" w:rsidRDefault="007F444F">
                  <w:pPr>
                    <w:spacing w:line="235" w:lineRule="auto"/>
                  </w:pPr>
                  <w:r>
                    <w:rPr>
                      <w:b/>
                      <w:bCs/>
                      <w:color w:val="FFFFFF"/>
                      <w:sz w:val="16"/>
                      <w:szCs w:val="16"/>
                    </w:rPr>
                    <w:t>QoQ Δ</w:t>
                  </w:r>
                </w:p>
              </w:tc>
            </w:tr>
            <w:tr w:rsidR="00F842B3" w14:paraId="406AE822" w14:textId="77777777">
              <w:tc>
                <w:tcPr>
                  <w:tcW w:w="1600" w:type="dxa"/>
                  <w:shd w:val="clear" w:color="auto" w:fill="FFFFFF"/>
                  <w:tcMar>
                    <w:top w:w="55" w:type="dxa"/>
                    <w:left w:w="80" w:type="dxa"/>
                    <w:bottom w:w="55" w:type="dxa"/>
                    <w:right w:w="80" w:type="dxa"/>
                  </w:tcMar>
                </w:tcPr>
                <w:p w14:paraId="406AE81E" w14:textId="77777777" w:rsidR="00F842B3" w:rsidRDefault="007F444F">
                  <w:pPr>
                    <w:spacing w:line="235" w:lineRule="auto"/>
                  </w:pPr>
                  <w:proofErr w:type="spellStart"/>
                  <w:r>
                    <w:rPr>
                      <w:sz w:val="16"/>
                      <w:szCs w:val="16"/>
                    </w:rPr>
                    <w:t>Stonepeak</w:t>
                  </w:r>
                  <w:proofErr w:type="spellEnd"/>
                </w:p>
              </w:tc>
              <w:tc>
                <w:tcPr>
                  <w:tcW w:w="900" w:type="dxa"/>
                  <w:shd w:val="clear" w:color="auto" w:fill="FFFFFF"/>
                  <w:tcMar>
                    <w:top w:w="55" w:type="dxa"/>
                    <w:left w:w="80" w:type="dxa"/>
                    <w:bottom w:w="55" w:type="dxa"/>
                    <w:right w:w="80" w:type="dxa"/>
                  </w:tcMar>
                </w:tcPr>
                <w:p w14:paraId="406AE81F" w14:textId="77777777" w:rsidR="00F842B3" w:rsidRDefault="007F444F">
                  <w:pPr>
                    <w:spacing w:line="235" w:lineRule="auto"/>
                  </w:pPr>
                  <w:r>
                    <w:rPr>
                      <w:sz w:val="16"/>
                      <w:szCs w:val="16"/>
                    </w:rPr>
                    <w:t>12.9%</w:t>
                  </w:r>
                </w:p>
              </w:tc>
              <w:tc>
                <w:tcPr>
                  <w:tcW w:w="900" w:type="dxa"/>
                  <w:shd w:val="clear" w:color="auto" w:fill="FFFFFF"/>
                  <w:tcMar>
                    <w:top w:w="55" w:type="dxa"/>
                    <w:left w:w="80" w:type="dxa"/>
                    <w:bottom w:w="55" w:type="dxa"/>
                    <w:right w:w="80" w:type="dxa"/>
                  </w:tcMar>
                </w:tcPr>
                <w:p w14:paraId="406AE820" w14:textId="77777777" w:rsidR="00F842B3" w:rsidRDefault="007F444F">
                  <w:pPr>
                    <w:spacing w:line="235" w:lineRule="auto"/>
                  </w:pPr>
                  <w:r>
                    <w:rPr>
                      <w:sz w:val="16"/>
                      <w:szCs w:val="16"/>
                    </w:rPr>
                    <w:t>12.9%</w:t>
                  </w:r>
                </w:p>
              </w:tc>
              <w:tc>
                <w:tcPr>
                  <w:tcW w:w="800" w:type="dxa"/>
                  <w:shd w:val="clear" w:color="auto" w:fill="FFFFFF"/>
                  <w:tcMar>
                    <w:top w:w="55" w:type="dxa"/>
                    <w:left w:w="80" w:type="dxa"/>
                    <w:bottom w:w="55" w:type="dxa"/>
                    <w:right w:w="80" w:type="dxa"/>
                  </w:tcMar>
                </w:tcPr>
                <w:p w14:paraId="406AE821" w14:textId="77777777" w:rsidR="00F842B3" w:rsidRDefault="007F444F">
                  <w:pPr>
                    <w:spacing w:line="235" w:lineRule="auto"/>
                  </w:pPr>
                  <w:r>
                    <w:rPr>
                      <w:sz w:val="16"/>
                      <w:szCs w:val="16"/>
                    </w:rPr>
                    <w:t>—</w:t>
                  </w:r>
                </w:p>
              </w:tc>
            </w:tr>
            <w:tr w:rsidR="00F842B3" w14:paraId="406AE827" w14:textId="77777777">
              <w:tc>
                <w:tcPr>
                  <w:tcW w:w="1600" w:type="dxa"/>
                  <w:shd w:val="clear" w:color="auto" w:fill="F2F5FB"/>
                  <w:tcMar>
                    <w:top w:w="55" w:type="dxa"/>
                    <w:left w:w="80" w:type="dxa"/>
                    <w:bottom w:w="55" w:type="dxa"/>
                    <w:right w:w="80" w:type="dxa"/>
                  </w:tcMar>
                </w:tcPr>
                <w:p w14:paraId="406AE823" w14:textId="77777777" w:rsidR="00F842B3" w:rsidRDefault="007F444F">
                  <w:pPr>
                    <w:spacing w:line="235" w:lineRule="auto"/>
                  </w:pPr>
                  <w:r>
                    <w:rPr>
                      <w:sz w:val="16"/>
                      <w:szCs w:val="16"/>
                    </w:rPr>
                    <w:t>Veritas</w:t>
                  </w:r>
                </w:p>
              </w:tc>
              <w:tc>
                <w:tcPr>
                  <w:tcW w:w="900" w:type="dxa"/>
                  <w:shd w:val="clear" w:color="auto" w:fill="F2F5FB"/>
                  <w:tcMar>
                    <w:top w:w="55" w:type="dxa"/>
                    <w:left w:w="80" w:type="dxa"/>
                    <w:bottom w:w="55" w:type="dxa"/>
                    <w:right w:w="80" w:type="dxa"/>
                  </w:tcMar>
                </w:tcPr>
                <w:p w14:paraId="406AE824" w14:textId="77777777" w:rsidR="00F842B3" w:rsidRDefault="007F444F">
                  <w:pPr>
                    <w:spacing w:line="235" w:lineRule="auto"/>
                  </w:pPr>
                  <w:r>
                    <w:rPr>
                      <w:sz w:val="16"/>
                      <w:szCs w:val="16"/>
                    </w:rPr>
                    <w:t>11.7%</w:t>
                  </w:r>
                </w:p>
              </w:tc>
              <w:tc>
                <w:tcPr>
                  <w:tcW w:w="900" w:type="dxa"/>
                  <w:shd w:val="clear" w:color="auto" w:fill="F2F5FB"/>
                  <w:tcMar>
                    <w:top w:w="55" w:type="dxa"/>
                    <w:left w:w="80" w:type="dxa"/>
                    <w:bottom w:w="55" w:type="dxa"/>
                    <w:right w:w="80" w:type="dxa"/>
                  </w:tcMar>
                </w:tcPr>
                <w:p w14:paraId="406AE825" w14:textId="77777777" w:rsidR="00F842B3" w:rsidRDefault="007F444F">
                  <w:pPr>
                    <w:spacing w:line="235" w:lineRule="auto"/>
                  </w:pPr>
                  <w:r>
                    <w:rPr>
                      <w:sz w:val="16"/>
                      <w:szCs w:val="16"/>
                    </w:rPr>
                    <w:t>11.8%</w:t>
                  </w:r>
                </w:p>
              </w:tc>
              <w:tc>
                <w:tcPr>
                  <w:tcW w:w="800" w:type="dxa"/>
                  <w:shd w:val="clear" w:color="auto" w:fill="F2F5FB"/>
                  <w:tcMar>
                    <w:top w:w="55" w:type="dxa"/>
                    <w:left w:w="80" w:type="dxa"/>
                    <w:bottom w:w="55" w:type="dxa"/>
                    <w:right w:w="80" w:type="dxa"/>
                  </w:tcMar>
                </w:tcPr>
                <w:p w14:paraId="406AE826" w14:textId="77777777" w:rsidR="00F842B3" w:rsidRDefault="007F444F">
                  <w:pPr>
                    <w:spacing w:line="235" w:lineRule="auto"/>
                  </w:pPr>
                  <w:r>
                    <w:rPr>
                      <w:sz w:val="16"/>
                      <w:szCs w:val="16"/>
                    </w:rPr>
                    <w:t>+0.1pp</w:t>
                  </w:r>
                </w:p>
              </w:tc>
            </w:tr>
            <w:tr w:rsidR="00F842B3" w14:paraId="406AE82C" w14:textId="77777777">
              <w:tc>
                <w:tcPr>
                  <w:tcW w:w="1600" w:type="dxa"/>
                  <w:shd w:val="clear" w:color="auto" w:fill="FFFFFF"/>
                  <w:tcMar>
                    <w:top w:w="55" w:type="dxa"/>
                    <w:left w:w="80" w:type="dxa"/>
                    <w:bottom w:w="55" w:type="dxa"/>
                    <w:right w:w="80" w:type="dxa"/>
                  </w:tcMar>
                </w:tcPr>
                <w:p w14:paraId="406AE828" w14:textId="77777777" w:rsidR="00F842B3" w:rsidRDefault="007F444F">
                  <w:pPr>
                    <w:spacing w:line="235" w:lineRule="auto"/>
                  </w:pPr>
                  <w:r>
                    <w:rPr>
                      <w:sz w:val="16"/>
                      <w:szCs w:val="16"/>
                    </w:rPr>
                    <w:t>H.I.G</w:t>
                  </w:r>
                </w:p>
              </w:tc>
              <w:tc>
                <w:tcPr>
                  <w:tcW w:w="900" w:type="dxa"/>
                  <w:shd w:val="clear" w:color="auto" w:fill="FFFFFF"/>
                  <w:tcMar>
                    <w:top w:w="55" w:type="dxa"/>
                    <w:left w:w="80" w:type="dxa"/>
                    <w:bottom w:w="55" w:type="dxa"/>
                    <w:right w:w="80" w:type="dxa"/>
                  </w:tcMar>
                </w:tcPr>
                <w:p w14:paraId="406AE829" w14:textId="77777777" w:rsidR="00F842B3" w:rsidRDefault="007F444F">
                  <w:pPr>
                    <w:spacing w:line="235" w:lineRule="auto"/>
                  </w:pPr>
                  <w:r>
                    <w:rPr>
                      <w:sz w:val="16"/>
                      <w:szCs w:val="16"/>
                    </w:rPr>
                    <w:t>8.7%</w:t>
                  </w:r>
                </w:p>
              </w:tc>
              <w:tc>
                <w:tcPr>
                  <w:tcW w:w="900" w:type="dxa"/>
                  <w:shd w:val="clear" w:color="auto" w:fill="FFFFFF"/>
                  <w:tcMar>
                    <w:top w:w="55" w:type="dxa"/>
                    <w:left w:w="80" w:type="dxa"/>
                    <w:bottom w:w="55" w:type="dxa"/>
                    <w:right w:w="80" w:type="dxa"/>
                  </w:tcMar>
                </w:tcPr>
                <w:p w14:paraId="406AE82A" w14:textId="77777777" w:rsidR="00F842B3" w:rsidRDefault="007F444F">
                  <w:pPr>
                    <w:spacing w:line="235" w:lineRule="auto"/>
                  </w:pPr>
                  <w:r>
                    <w:rPr>
                      <w:sz w:val="16"/>
                      <w:szCs w:val="16"/>
                    </w:rPr>
                    <w:t>8.8%</w:t>
                  </w:r>
                </w:p>
              </w:tc>
              <w:tc>
                <w:tcPr>
                  <w:tcW w:w="800" w:type="dxa"/>
                  <w:shd w:val="clear" w:color="auto" w:fill="FFFFFF"/>
                  <w:tcMar>
                    <w:top w:w="55" w:type="dxa"/>
                    <w:left w:w="80" w:type="dxa"/>
                    <w:bottom w:w="55" w:type="dxa"/>
                    <w:right w:w="80" w:type="dxa"/>
                  </w:tcMar>
                </w:tcPr>
                <w:p w14:paraId="406AE82B" w14:textId="77777777" w:rsidR="00F842B3" w:rsidRDefault="007F444F">
                  <w:pPr>
                    <w:spacing w:line="235" w:lineRule="auto"/>
                  </w:pPr>
                  <w:r>
                    <w:rPr>
                      <w:sz w:val="16"/>
                      <w:szCs w:val="16"/>
                    </w:rPr>
                    <w:t>+0.1pp</w:t>
                  </w:r>
                </w:p>
              </w:tc>
            </w:tr>
            <w:tr w:rsidR="00F842B3" w14:paraId="406AE831" w14:textId="77777777">
              <w:tc>
                <w:tcPr>
                  <w:tcW w:w="1600" w:type="dxa"/>
                  <w:shd w:val="clear" w:color="auto" w:fill="F2F5FB"/>
                  <w:tcMar>
                    <w:top w:w="55" w:type="dxa"/>
                    <w:left w:w="80" w:type="dxa"/>
                    <w:bottom w:w="55" w:type="dxa"/>
                    <w:right w:w="80" w:type="dxa"/>
                  </w:tcMar>
                </w:tcPr>
                <w:p w14:paraId="406AE82D" w14:textId="77777777" w:rsidR="00F842B3" w:rsidRDefault="007F444F">
                  <w:pPr>
                    <w:spacing w:line="235" w:lineRule="auto"/>
                  </w:pPr>
                  <w:r>
                    <w:rPr>
                      <w:sz w:val="16"/>
                      <w:szCs w:val="16"/>
                    </w:rPr>
                    <w:t>I Squared</w:t>
                  </w:r>
                </w:p>
              </w:tc>
              <w:tc>
                <w:tcPr>
                  <w:tcW w:w="900" w:type="dxa"/>
                  <w:shd w:val="clear" w:color="auto" w:fill="F2F5FB"/>
                  <w:tcMar>
                    <w:top w:w="55" w:type="dxa"/>
                    <w:left w:w="80" w:type="dxa"/>
                    <w:bottom w:w="55" w:type="dxa"/>
                    <w:right w:w="80" w:type="dxa"/>
                  </w:tcMar>
                </w:tcPr>
                <w:p w14:paraId="406AE82E" w14:textId="77777777" w:rsidR="00F842B3" w:rsidRDefault="007F444F">
                  <w:pPr>
                    <w:spacing w:line="235" w:lineRule="auto"/>
                  </w:pPr>
                  <w:r>
                    <w:rPr>
                      <w:sz w:val="16"/>
                      <w:szCs w:val="16"/>
                    </w:rPr>
                    <w:t>8.7%</w:t>
                  </w:r>
                </w:p>
              </w:tc>
              <w:tc>
                <w:tcPr>
                  <w:tcW w:w="900" w:type="dxa"/>
                  <w:shd w:val="clear" w:color="auto" w:fill="F2F5FB"/>
                  <w:tcMar>
                    <w:top w:w="55" w:type="dxa"/>
                    <w:left w:w="80" w:type="dxa"/>
                    <w:bottom w:w="55" w:type="dxa"/>
                    <w:right w:w="80" w:type="dxa"/>
                  </w:tcMar>
                </w:tcPr>
                <w:p w14:paraId="406AE82F" w14:textId="77777777" w:rsidR="00F842B3" w:rsidRDefault="007F444F">
                  <w:pPr>
                    <w:spacing w:line="235" w:lineRule="auto"/>
                  </w:pPr>
                  <w:r>
                    <w:rPr>
                      <w:sz w:val="16"/>
                      <w:szCs w:val="16"/>
                    </w:rPr>
                    <w:t>8.7%</w:t>
                  </w:r>
                </w:p>
              </w:tc>
              <w:tc>
                <w:tcPr>
                  <w:tcW w:w="800" w:type="dxa"/>
                  <w:shd w:val="clear" w:color="auto" w:fill="F2F5FB"/>
                  <w:tcMar>
                    <w:top w:w="55" w:type="dxa"/>
                    <w:left w:w="80" w:type="dxa"/>
                    <w:bottom w:w="55" w:type="dxa"/>
                    <w:right w:w="80" w:type="dxa"/>
                  </w:tcMar>
                </w:tcPr>
                <w:p w14:paraId="406AE830" w14:textId="77777777" w:rsidR="00F842B3" w:rsidRDefault="007F444F">
                  <w:pPr>
                    <w:spacing w:line="235" w:lineRule="auto"/>
                  </w:pPr>
                  <w:r>
                    <w:rPr>
                      <w:sz w:val="16"/>
                      <w:szCs w:val="16"/>
                    </w:rPr>
                    <w:t>—</w:t>
                  </w:r>
                </w:p>
              </w:tc>
            </w:tr>
            <w:tr w:rsidR="00F842B3" w14:paraId="406AE836" w14:textId="77777777">
              <w:tc>
                <w:tcPr>
                  <w:tcW w:w="1600" w:type="dxa"/>
                  <w:shd w:val="clear" w:color="auto" w:fill="FFFFFF"/>
                  <w:tcMar>
                    <w:top w:w="55" w:type="dxa"/>
                    <w:left w:w="80" w:type="dxa"/>
                    <w:bottom w:w="55" w:type="dxa"/>
                    <w:right w:w="80" w:type="dxa"/>
                  </w:tcMar>
                </w:tcPr>
                <w:p w14:paraId="406AE832" w14:textId="77777777" w:rsidR="00F842B3" w:rsidRDefault="007F444F">
                  <w:pPr>
                    <w:spacing w:line="235" w:lineRule="auto"/>
                  </w:pPr>
                  <w:r>
                    <w:rPr>
                      <w:sz w:val="16"/>
                      <w:szCs w:val="16"/>
                    </w:rPr>
                    <w:t>CVC</w:t>
                  </w:r>
                </w:p>
              </w:tc>
              <w:tc>
                <w:tcPr>
                  <w:tcW w:w="900" w:type="dxa"/>
                  <w:shd w:val="clear" w:color="auto" w:fill="FFFFFF"/>
                  <w:tcMar>
                    <w:top w:w="55" w:type="dxa"/>
                    <w:left w:w="80" w:type="dxa"/>
                    <w:bottom w:w="55" w:type="dxa"/>
                    <w:right w:w="80" w:type="dxa"/>
                  </w:tcMar>
                </w:tcPr>
                <w:p w14:paraId="406AE833" w14:textId="77777777" w:rsidR="00F842B3" w:rsidRDefault="007F444F">
                  <w:pPr>
                    <w:spacing w:line="235" w:lineRule="auto"/>
                  </w:pPr>
                  <w:r>
                    <w:rPr>
                      <w:sz w:val="16"/>
                      <w:szCs w:val="16"/>
                    </w:rPr>
                    <w:t>8.3%</w:t>
                  </w:r>
                </w:p>
              </w:tc>
              <w:tc>
                <w:tcPr>
                  <w:tcW w:w="900" w:type="dxa"/>
                  <w:shd w:val="clear" w:color="auto" w:fill="FFFFFF"/>
                  <w:tcMar>
                    <w:top w:w="55" w:type="dxa"/>
                    <w:left w:w="80" w:type="dxa"/>
                    <w:bottom w:w="55" w:type="dxa"/>
                    <w:right w:w="80" w:type="dxa"/>
                  </w:tcMar>
                </w:tcPr>
                <w:p w14:paraId="406AE834" w14:textId="77777777" w:rsidR="00F842B3" w:rsidRDefault="007F444F">
                  <w:pPr>
                    <w:spacing w:line="235" w:lineRule="auto"/>
                  </w:pPr>
                  <w:r>
                    <w:rPr>
                      <w:sz w:val="16"/>
                      <w:szCs w:val="16"/>
                    </w:rPr>
                    <w:t>8.5%</w:t>
                  </w:r>
                </w:p>
              </w:tc>
              <w:tc>
                <w:tcPr>
                  <w:tcW w:w="800" w:type="dxa"/>
                  <w:shd w:val="clear" w:color="auto" w:fill="FFFFFF"/>
                  <w:tcMar>
                    <w:top w:w="55" w:type="dxa"/>
                    <w:left w:w="80" w:type="dxa"/>
                    <w:bottom w:w="55" w:type="dxa"/>
                    <w:right w:w="80" w:type="dxa"/>
                  </w:tcMar>
                </w:tcPr>
                <w:p w14:paraId="406AE835" w14:textId="77777777" w:rsidR="00F842B3" w:rsidRDefault="007F444F">
                  <w:pPr>
                    <w:spacing w:line="235" w:lineRule="auto"/>
                  </w:pPr>
                  <w:r>
                    <w:rPr>
                      <w:sz w:val="16"/>
                      <w:szCs w:val="16"/>
                    </w:rPr>
                    <w:t>+0.2pp</w:t>
                  </w:r>
                </w:p>
              </w:tc>
            </w:tr>
            <w:tr w:rsidR="00F842B3" w14:paraId="406AE83B" w14:textId="77777777">
              <w:tc>
                <w:tcPr>
                  <w:tcW w:w="1600" w:type="dxa"/>
                  <w:shd w:val="clear" w:color="auto" w:fill="F2F5FB"/>
                  <w:tcMar>
                    <w:top w:w="55" w:type="dxa"/>
                    <w:left w:w="80" w:type="dxa"/>
                    <w:bottom w:w="55" w:type="dxa"/>
                    <w:right w:w="80" w:type="dxa"/>
                  </w:tcMar>
                </w:tcPr>
                <w:p w14:paraId="406AE837" w14:textId="77777777" w:rsidR="00F842B3" w:rsidRDefault="007F444F">
                  <w:pPr>
                    <w:spacing w:line="235" w:lineRule="auto"/>
                  </w:pPr>
                  <w:r>
                    <w:rPr>
                      <w:sz w:val="16"/>
                      <w:szCs w:val="16"/>
                    </w:rPr>
                    <w:t>PAI</w:t>
                  </w:r>
                </w:p>
              </w:tc>
              <w:tc>
                <w:tcPr>
                  <w:tcW w:w="900" w:type="dxa"/>
                  <w:shd w:val="clear" w:color="auto" w:fill="F2F5FB"/>
                  <w:tcMar>
                    <w:top w:w="55" w:type="dxa"/>
                    <w:left w:w="80" w:type="dxa"/>
                    <w:bottom w:w="55" w:type="dxa"/>
                    <w:right w:w="80" w:type="dxa"/>
                  </w:tcMar>
                </w:tcPr>
                <w:p w14:paraId="406AE838" w14:textId="77777777" w:rsidR="00F842B3" w:rsidRDefault="007F444F">
                  <w:pPr>
                    <w:spacing w:line="235" w:lineRule="auto"/>
                  </w:pPr>
                  <w:r>
                    <w:rPr>
                      <w:sz w:val="16"/>
                      <w:szCs w:val="16"/>
                    </w:rPr>
                    <w:t>7.6%</w:t>
                  </w:r>
                </w:p>
              </w:tc>
              <w:tc>
                <w:tcPr>
                  <w:tcW w:w="900" w:type="dxa"/>
                  <w:shd w:val="clear" w:color="auto" w:fill="F2F5FB"/>
                  <w:tcMar>
                    <w:top w:w="55" w:type="dxa"/>
                    <w:left w:w="80" w:type="dxa"/>
                    <w:bottom w:w="55" w:type="dxa"/>
                    <w:right w:w="80" w:type="dxa"/>
                  </w:tcMar>
                </w:tcPr>
                <w:p w14:paraId="406AE839" w14:textId="77777777" w:rsidR="00F842B3" w:rsidRDefault="007F444F">
                  <w:pPr>
                    <w:spacing w:line="235" w:lineRule="auto"/>
                  </w:pPr>
                  <w:r>
                    <w:rPr>
                      <w:sz w:val="16"/>
                      <w:szCs w:val="16"/>
                    </w:rPr>
                    <w:t>7.5%</w:t>
                  </w:r>
                </w:p>
              </w:tc>
              <w:tc>
                <w:tcPr>
                  <w:tcW w:w="800" w:type="dxa"/>
                  <w:shd w:val="clear" w:color="auto" w:fill="F2F5FB"/>
                  <w:tcMar>
                    <w:top w:w="55" w:type="dxa"/>
                    <w:left w:w="80" w:type="dxa"/>
                    <w:bottom w:w="55" w:type="dxa"/>
                    <w:right w:w="80" w:type="dxa"/>
                  </w:tcMar>
                </w:tcPr>
                <w:p w14:paraId="406AE83A" w14:textId="77777777" w:rsidR="00F842B3" w:rsidRDefault="007F444F">
                  <w:pPr>
                    <w:spacing w:line="235" w:lineRule="auto"/>
                  </w:pPr>
                  <w:r>
                    <w:rPr>
                      <w:color w:val="C00000"/>
                      <w:sz w:val="16"/>
                      <w:szCs w:val="16"/>
                    </w:rPr>
                    <w:t>-0.1pp</w:t>
                  </w:r>
                </w:p>
              </w:tc>
            </w:tr>
            <w:tr w:rsidR="00F842B3" w14:paraId="406AE840" w14:textId="77777777">
              <w:tc>
                <w:tcPr>
                  <w:tcW w:w="1600" w:type="dxa"/>
                  <w:shd w:val="clear" w:color="auto" w:fill="FFFFFF"/>
                  <w:tcMar>
                    <w:top w:w="55" w:type="dxa"/>
                    <w:left w:w="80" w:type="dxa"/>
                    <w:bottom w:w="55" w:type="dxa"/>
                    <w:right w:w="80" w:type="dxa"/>
                  </w:tcMar>
                </w:tcPr>
                <w:p w14:paraId="406AE83C" w14:textId="77777777" w:rsidR="00F842B3" w:rsidRDefault="007F444F">
                  <w:pPr>
                    <w:spacing w:line="235" w:lineRule="auto"/>
                  </w:pPr>
                  <w:r>
                    <w:rPr>
                      <w:sz w:val="16"/>
                      <w:szCs w:val="16"/>
                    </w:rPr>
                    <w:t>NEA</w:t>
                  </w:r>
                </w:p>
              </w:tc>
              <w:tc>
                <w:tcPr>
                  <w:tcW w:w="900" w:type="dxa"/>
                  <w:shd w:val="clear" w:color="auto" w:fill="FFFFFF"/>
                  <w:tcMar>
                    <w:top w:w="55" w:type="dxa"/>
                    <w:left w:w="80" w:type="dxa"/>
                    <w:bottom w:w="55" w:type="dxa"/>
                    <w:right w:w="80" w:type="dxa"/>
                  </w:tcMar>
                </w:tcPr>
                <w:p w14:paraId="406AE83D" w14:textId="77777777" w:rsidR="00F842B3" w:rsidRDefault="007F444F">
                  <w:pPr>
                    <w:spacing w:line="235" w:lineRule="auto"/>
                  </w:pPr>
                  <w:r>
                    <w:rPr>
                      <w:sz w:val="16"/>
                      <w:szCs w:val="16"/>
                    </w:rPr>
                    <w:t>7.3%</w:t>
                  </w:r>
                </w:p>
              </w:tc>
              <w:tc>
                <w:tcPr>
                  <w:tcW w:w="900" w:type="dxa"/>
                  <w:shd w:val="clear" w:color="auto" w:fill="FFFFFF"/>
                  <w:tcMar>
                    <w:top w:w="55" w:type="dxa"/>
                    <w:left w:w="80" w:type="dxa"/>
                    <w:bottom w:w="55" w:type="dxa"/>
                    <w:right w:w="80" w:type="dxa"/>
                  </w:tcMar>
                </w:tcPr>
                <w:p w14:paraId="406AE83E" w14:textId="77777777" w:rsidR="00F842B3" w:rsidRDefault="007F444F">
                  <w:pPr>
                    <w:spacing w:line="235" w:lineRule="auto"/>
                  </w:pPr>
                  <w:r>
                    <w:rPr>
                      <w:sz w:val="16"/>
                      <w:szCs w:val="16"/>
                    </w:rPr>
                    <w:t>7.4%</w:t>
                  </w:r>
                </w:p>
              </w:tc>
              <w:tc>
                <w:tcPr>
                  <w:tcW w:w="800" w:type="dxa"/>
                  <w:shd w:val="clear" w:color="auto" w:fill="FFFFFF"/>
                  <w:tcMar>
                    <w:top w:w="55" w:type="dxa"/>
                    <w:left w:w="80" w:type="dxa"/>
                    <w:bottom w:w="55" w:type="dxa"/>
                    <w:right w:w="80" w:type="dxa"/>
                  </w:tcMar>
                </w:tcPr>
                <w:p w14:paraId="406AE83F" w14:textId="77777777" w:rsidR="00F842B3" w:rsidRDefault="007F444F">
                  <w:pPr>
                    <w:spacing w:line="235" w:lineRule="auto"/>
                  </w:pPr>
                  <w:r>
                    <w:rPr>
                      <w:sz w:val="16"/>
                      <w:szCs w:val="16"/>
                    </w:rPr>
                    <w:t>+0.1pp</w:t>
                  </w:r>
                </w:p>
              </w:tc>
            </w:tr>
            <w:tr w:rsidR="00F842B3" w14:paraId="406AE845" w14:textId="77777777">
              <w:tc>
                <w:tcPr>
                  <w:tcW w:w="1600" w:type="dxa"/>
                  <w:shd w:val="clear" w:color="auto" w:fill="F2F5FB"/>
                  <w:tcMar>
                    <w:top w:w="55" w:type="dxa"/>
                    <w:left w:w="80" w:type="dxa"/>
                    <w:bottom w:w="55" w:type="dxa"/>
                    <w:right w:w="80" w:type="dxa"/>
                  </w:tcMar>
                </w:tcPr>
                <w:p w14:paraId="406AE841" w14:textId="77777777" w:rsidR="00F842B3" w:rsidRDefault="007F444F">
                  <w:pPr>
                    <w:spacing w:line="235" w:lineRule="auto"/>
                  </w:pPr>
                  <w:r>
                    <w:rPr>
                      <w:sz w:val="16"/>
                      <w:szCs w:val="16"/>
                    </w:rPr>
                    <w:t>MBK</w:t>
                  </w:r>
                </w:p>
              </w:tc>
              <w:tc>
                <w:tcPr>
                  <w:tcW w:w="900" w:type="dxa"/>
                  <w:shd w:val="clear" w:color="auto" w:fill="F2F5FB"/>
                  <w:tcMar>
                    <w:top w:w="55" w:type="dxa"/>
                    <w:left w:w="80" w:type="dxa"/>
                    <w:bottom w:w="55" w:type="dxa"/>
                    <w:right w:w="80" w:type="dxa"/>
                  </w:tcMar>
                </w:tcPr>
                <w:p w14:paraId="406AE842" w14:textId="77777777" w:rsidR="00F842B3" w:rsidRDefault="007F444F">
                  <w:pPr>
                    <w:spacing w:line="235" w:lineRule="auto"/>
                  </w:pPr>
                  <w:r>
                    <w:rPr>
                      <w:sz w:val="16"/>
                      <w:szCs w:val="16"/>
                    </w:rPr>
                    <w:t>5.9%</w:t>
                  </w:r>
                </w:p>
              </w:tc>
              <w:tc>
                <w:tcPr>
                  <w:tcW w:w="900" w:type="dxa"/>
                  <w:shd w:val="clear" w:color="auto" w:fill="F2F5FB"/>
                  <w:tcMar>
                    <w:top w:w="55" w:type="dxa"/>
                    <w:left w:w="80" w:type="dxa"/>
                    <w:bottom w:w="55" w:type="dxa"/>
                    <w:right w:w="80" w:type="dxa"/>
                  </w:tcMar>
                </w:tcPr>
                <w:p w14:paraId="406AE843" w14:textId="77777777" w:rsidR="00F842B3" w:rsidRDefault="007F444F">
                  <w:pPr>
                    <w:spacing w:line="235" w:lineRule="auto"/>
                  </w:pPr>
                  <w:r>
                    <w:rPr>
                      <w:sz w:val="16"/>
                      <w:szCs w:val="16"/>
                    </w:rPr>
                    <w:t>5.1%</w:t>
                  </w:r>
                </w:p>
              </w:tc>
              <w:tc>
                <w:tcPr>
                  <w:tcW w:w="800" w:type="dxa"/>
                  <w:shd w:val="clear" w:color="auto" w:fill="F2F5FB"/>
                  <w:tcMar>
                    <w:top w:w="55" w:type="dxa"/>
                    <w:left w:w="80" w:type="dxa"/>
                    <w:bottom w:w="55" w:type="dxa"/>
                    <w:right w:w="80" w:type="dxa"/>
                  </w:tcMar>
                </w:tcPr>
                <w:p w14:paraId="406AE844" w14:textId="77777777" w:rsidR="00F842B3" w:rsidRDefault="007F444F">
                  <w:pPr>
                    <w:spacing w:line="235" w:lineRule="auto"/>
                  </w:pPr>
                  <w:r>
                    <w:rPr>
                      <w:color w:val="C00000"/>
                      <w:sz w:val="16"/>
                      <w:szCs w:val="16"/>
                    </w:rPr>
                    <w:t>-0.8pp</w:t>
                  </w:r>
                </w:p>
              </w:tc>
            </w:tr>
            <w:tr w:rsidR="00F842B3" w14:paraId="406AE84A" w14:textId="77777777">
              <w:tc>
                <w:tcPr>
                  <w:tcW w:w="1600" w:type="dxa"/>
                  <w:shd w:val="clear" w:color="auto" w:fill="FFFFFF"/>
                  <w:tcMar>
                    <w:top w:w="55" w:type="dxa"/>
                    <w:left w:w="80" w:type="dxa"/>
                    <w:bottom w:w="55" w:type="dxa"/>
                    <w:right w:w="80" w:type="dxa"/>
                  </w:tcMar>
                </w:tcPr>
                <w:p w14:paraId="406AE846" w14:textId="77777777" w:rsidR="00F842B3" w:rsidRDefault="007F444F">
                  <w:pPr>
                    <w:spacing w:line="235" w:lineRule="auto"/>
                  </w:pPr>
                  <w:r>
                    <w:rPr>
                      <w:sz w:val="16"/>
                      <w:szCs w:val="16"/>
                    </w:rPr>
                    <w:lastRenderedPageBreak/>
                    <w:t>Cerberus / KPS</w:t>
                  </w:r>
                </w:p>
              </w:tc>
              <w:tc>
                <w:tcPr>
                  <w:tcW w:w="900" w:type="dxa"/>
                  <w:shd w:val="clear" w:color="auto" w:fill="FFFFFF"/>
                  <w:tcMar>
                    <w:top w:w="55" w:type="dxa"/>
                    <w:left w:w="80" w:type="dxa"/>
                    <w:bottom w:w="55" w:type="dxa"/>
                    <w:right w:w="80" w:type="dxa"/>
                  </w:tcMar>
                </w:tcPr>
                <w:p w14:paraId="406AE847" w14:textId="77777777" w:rsidR="00F842B3" w:rsidRDefault="007F444F">
                  <w:pPr>
                    <w:spacing w:line="235" w:lineRule="auto"/>
                  </w:pPr>
                  <w:r>
                    <w:rPr>
                      <w:sz w:val="16"/>
                      <w:szCs w:val="16"/>
                    </w:rPr>
                    <w:t>4.9% / 4.8%</w:t>
                  </w:r>
                </w:p>
              </w:tc>
              <w:tc>
                <w:tcPr>
                  <w:tcW w:w="900" w:type="dxa"/>
                  <w:shd w:val="clear" w:color="auto" w:fill="FFFFFF"/>
                  <w:tcMar>
                    <w:top w:w="55" w:type="dxa"/>
                    <w:left w:w="80" w:type="dxa"/>
                    <w:bottom w:w="55" w:type="dxa"/>
                    <w:right w:w="80" w:type="dxa"/>
                  </w:tcMar>
                </w:tcPr>
                <w:p w14:paraId="406AE848" w14:textId="77777777" w:rsidR="00F842B3" w:rsidRDefault="007F444F">
                  <w:pPr>
                    <w:spacing w:line="235" w:lineRule="auto"/>
                  </w:pPr>
                  <w:r>
                    <w:rPr>
                      <w:sz w:val="16"/>
                      <w:szCs w:val="16"/>
                    </w:rPr>
                    <w:t>4.9% / 4.8%</w:t>
                  </w:r>
                </w:p>
              </w:tc>
              <w:tc>
                <w:tcPr>
                  <w:tcW w:w="800" w:type="dxa"/>
                  <w:shd w:val="clear" w:color="auto" w:fill="FFFFFF"/>
                  <w:tcMar>
                    <w:top w:w="55" w:type="dxa"/>
                    <w:left w:w="80" w:type="dxa"/>
                    <w:bottom w:w="55" w:type="dxa"/>
                    <w:right w:w="80" w:type="dxa"/>
                  </w:tcMar>
                </w:tcPr>
                <w:p w14:paraId="406AE849" w14:textId="77777777" w:rsidR="00F842B3" w:rsidRDefault="007F444F">
                  <w:pPr>
                    <w:spacing w:line="235" w:lineRule="auto"/>
                  </w:pPr>
                  <w:r>
                    <w:rPr>
                      <w:sz w:val="16"/>
                      <w:szCs w:val="16"/>
                    </w:rPr>
                    <w:t>—</w:t>
                  </w:r>
                </w:p>
              </w:tc>
            </w:tr>
            <w:tr w:rsidR="00F842B3" w14:paraId="406AE84F" w14:textId="77777777">
              <w:tc>
                <w:tcPr>
                  <w:tcW w:w="1600" w:type="dxa"/>
                  <w:shd w:val="clear" w:color="auto" w:fill="F2F5FB"/>
                  <w:tcMar>
                    <w:top w:w="55" w:type="dxa"/>
                    <w:left w:w="80" w:type="dxa"/>
                    <w:bottom w:w="55" w:type="dxa"/>
                    <w:right w:w="80" w:type="dxa"/>
                  </w:tcMar>
                </w:tcPr>
                <w:p w14:paraId="406AE84B" w14:textId="77777777" w:rsidR="00F842B3" w:rsidRDefault="007F444F">
                  <w:pPr>
                    <w:spacing w:line="235" w:lineRule="auto"/>
                  </w:pPr>
                  <w:r>
                    <w:rPr>
                      <w:sz w:val="16"/>
                      <w:szCs w:val="16"/>
                    </w:rPr>
                    <w:t>All other (10 positions)</w:t>
                  </w:r>
                </w:p>
              </w:tc>
              <w:tc>
                <w:tcPr>
                  <w:tcW w:w="900" w:type="dxa"/>
                  <w:shd w:val="clear" w:color="auto" w:fill="F2F5FB"/>
                  <w:tcMar>
                    <w:top w:w="55" w:type="dxa"/>
                    <w:left w:w="80" w:type="dxa"/>
                    <w:bottom w:w="55" w:type="dxa"/>
                    <w:right w:w="80" w:type="dxa"/>
                  </w:tcMar>
                </w:tcPr>
                <w:p w14:paraId="406AE84C" w14:textId="77777777" w:rsidR="00F842B3" w:rsidRDefault="007F444F">
                  <w:pPr>
                    <w:spacing w:line="235" w:lineRule="auto"/>
                  </w:pPr>
                  <w:r>
                    <w:rPr>
                      <w:sz w:val="16"/>
                      <w:szCs w:val="16"/>
                    </w:rPr>
                    <w:t>19.2%</w:t>
                  </w:r>
                </w:p>
              </w:tc>
              <w:tc>
                <w:tcPr>
                  <w:tcW w:w="900" w:type="dxa"/>
                  <w:shd w:val="clear" w:color="auto" w:fill="F2F5FB"/>
                  <w:tcMar>
                    <w:top w:w="55" w:type="dxa"/>
                    <w:left w:w="80" w:type="dxa"/>
                    <w:bottom w:w="55" w:type="dxa"/>
                    <w:right w:w="80" w:type="dxa"/>
                  </w:tcMar>
                </w:tcPr>
                <w:p w14:paraId="406AE84D" w14:textId="77777777" w:rsidR="00F842B3" w:rsidRDefault="007F444F">
                  <w:pPr>
                    <w:spacing w:line="235" w:lineRule="auto"/>
                  </w:pPr>
                  <w:r>
                    <w:rPr>
                      <w:sz w:val="16"/>
                      <w:szCs w:val="16"/>
                    </w:rPr>
                    <w:t>19.6%</w:t>
                  </w:r>
                </w:p>
              </w:tc>
              <w:tc>
                <w:tcPr>
                  <w:tcW w:w="800" w:type="dxa"/>
                  <w:shd w:val="clear" w:color="auto" w:fill="F2F5FB"/>
                  <w:tcMar>
                    <w:top w:w="55" w:type="dxa"/>
                    <w:left w:w="80" w:type="dxa"/>
                    <w:bottom w:w="55" w:type="dxa"/>
                    <w:right w:w="80" w:type="dxa"/>
                  </w:tcMar>
                </w:tcPr>
                <w:p w14:paraId="406AE84E" w14:textId="77777777" w:rsidR="00F842B3" w:rsidRDefault="007F444F">
                  <w:pPr>
                    <w:spacing w:line="235" w:lineRule="auto"/>
                  </w:pPr>
                  <w:r>
                    <w:rPr>
                      <w:sz w:val="16"/>
                      <w:szCs w:val="16"/>
                    </w:rPr>
                    <w:t>+0.4pp</w:t>
                  </w:r>
                </w:p>
              </w:tc>
            </w:tr>
          </w:tbl>
          <w:p w14:paraId="406AE850" w14:textId="77777777" w:rsidR="00F842B3" w:rsidRDefault="00F842B3"/>
        </w:tc>
      </w:tr>
    </w:tbl>
    <w:p w14:paraId="406AE852" w14:textId="77777777" w:rsidR="00F842B3" w:rsidRDefault="007F444F">
      <w:pPr>
        <w:spacing w:before="30" w:after="180"/>
      </w:pPr>
      <w:r>
        <w:rPr>
          <w:color w:val="5A6B7B"/>
          <w:sz w:val="14"/>
          <w:szCs w:val="14"/>
        </w:rPr>
        <w:lastRenderedPageBreak/>
        <w:t xml:space="preserve">Note: Manager shares = holding value ÷ total GP holding value (4Q25: US$13,763.6m; 1Q26: US$13,689.5m); </w:t>
      </w:r>
      <w:proofErr w:type="spellStart"/>
      <w:r>
        <w:rPr>
          <w:color w:val="5A6B7B"/>
          <w:sz w:val="14"/>
          <w:szCs w:val="14"/>
        </w:rPr>
        <w:t>Junson</w:t>
      </w:r>
      <w:proofErr w:type="spellEnd"/>
      <w:r>
        <w:rPr>
          <w:color w:val="5A6B7B"/>
          <w:sz w:val="14"/>
          <w:szCs w:val="14"/>
        </w:rPr>
        <w:t xml:space="preserve"> calculation from the letters' Quarterly Change in GP Valuation tables. </w:t>
      </w:r>
      <w:proofErr w:type="spellStart"/>
      <w:r>
        <w:rPr>
          <w:color w:val="5A6B7B"/>
          <w:sz w:val="14"/>
          <w:szCs w:val="14"/>
        </w:rPr>
        <w:t>WarwickRe</w:t>
      </w:r>
      <w:proofErr w:type="spellEnd"/>
      <w:r>
        <w:rPr>
          <w:color w:val="5A6B7B"/>
          <w:sz w:val="14"/>
          <w:szCs w:val="14"/>
        </w:rPr>
        <w:t xml:space="preserve"> (0.3% at 4Q25) realized in the quarter and included in 'All other'. Asset-class mix per 'Portfolio Diversification' pages. Source: Blue Owl, GP Stakes V letters — 1Q26 pp. 5, 7; 4Q25 pp. 5, 7.</w:t>
      </w:r>
    </w:p>
    <w:p w14:paraId="406AE853" w14:textId="77777777" w:rsidR="00F842B3" w:rsidRDefault="007F444F">
      <w:pPr>
        <w:keepNext/>
        <w:spacing w:before="60" w:after="30"/>
      </w:pPr>
      <w:r>
        <w:rPr>
          <w:b/>
          <w:bCs/>
          <w:color w:val="16283F"/>
        </w:rPr>
        <w:t>Exhibit 38: Quarterly valuation bridge and movers, 12/31/25 → 3/31/26 (</w:t>
      </w:r>
      <w:proofErr w:type="spellStart"/>
      <w:r>
        <w:rPr>
          <w:b/>
          <w:bCs/>
          <w:color w:val="16283F"/>
        </w:rPr>
        <w:t>US$m</w:t>
      </w:r>
      <w:proofErr w:type="spellEnd"/>
      <w:r>
        <w:rPr>
          <w:b/>
          <w:bCs/>
          <w:color w:val="16283F"/>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50"/>
        <w:gridCol w:w="750"/>
        <w:gridCol w:w="850"/>
        <w:gridCol w:w="1050"/>
        <w:gridCol w:w="1250"/>
        <w:gridCol w:w="750"/>
        <w:gridCol w:w="2100"/>
      </w:tblGrid>
      <w:tr w:rsidR="00F842B3" w14:paraId="406AE85C" w14:textId="77777777">
        <w:trPr>
          <w:tblHeader/>
        </w:trPr>
        <w:tc>
          <w:tcPr>
            <w:tcW w:w="1300" w:type="dxa"/>
            <w:shd w:val="clear" w:color="auto" w:fill="1F3B5B"/>
            <w:tcMar>
              <w:top w:w="40" w:type="dxa"/>
              <w:left w:w="70" w:type="dxa"/>
              <w:bottom w:w="40" w:type="dxa"/>
              <w:right w:w="70" w:type="dxa"/>
            </w:tcMar>
          </w:tcPr>
          <w:p w14:paraId="406AE854" w14:textId="77777777" w:rsidR="00F842B3" w:rsidRDefault="007F444F">
            <w:pPr>
              <w:spacing w:line="230" w:lineRule="auto"/>
            </w:pPr>
            <w:r>
              <w:rPr>
                <w:b/>
                <w:bCs/>
                <w:color w:val="FFFFFF"/>
                <w:sz w:val="16"/>
                <w:szCs w:val="16"/>
              </w:rPr>
              <w:t>Partner manager</w:t>
            </w:r>
          </w:p>
        </w:tc>
        <w:tc>
          <w:tcPr>
            <w:tcW w:w="1250" w:type="dxa"/>
            <w:shd w:val="clear" w:color="auto" w:fill="1F3B5B"/>
            <w:tcMar>
              <w:top w:w="40" w:type="dxa"/>
              <w:left w:w="70" w:type="dxa"/>
              <w:bottom w:w="40" w:type="dxa"/>
              <w:right w:w="70" w:type="dxa"/>
            </w:tcMar>
          </w:tcPr>
          <w:p w14:paraId="406AE855" w14:textId="77777777" w:rsidR="00F842B3" w:rsidRDefault="007F444F">
            <w:pPr>
              <w:spacing w:line="230" w:lineRule="auto"/>
            </w:pPr>
            <w:r>
              <w:rPr>
                <w:b/>
                <w:bCs/>
                <w:color w:val="FFFFFF"/>
                <w:sz w:val="16"/>
                <w:szCs w:val="16"/>
              </w:rPr>
              <w:t>Holding 12/31/25</w:t>
            </w:r>
          </w:p>
        </w:tc>
        <w:tc>
          <w:tcPr>
            <w:tcW w:w="750" w:type="dxa"/>
            <w:shd w:val="clear" w:color="auto" w:fill="1F3B5B"/>
            <w:tcMar>
              <w:top w:w="40" w:type="dxa"/>
              <w:left w:w="70" w:type="dxa"/>
              <w:bottom w:w="40" w:type="dxa"/>
              <w:right w:w="70" w:type="dxa"/>
            </w:tcMar>
          </w:tcPr>
          <w:p w14:paraId="406AE856" w14:textId="77777777" w:rsidR="00F842B3" w:rsidRDefault="007F444F">
            <w:pPr>
              <w:spacing w:line="230" w:lineRule="auto"/>
            </w:pPr>
            <w:r>
              <w:rPr>
                <w:b/>
                <w:bCs/>
                <w:color w:val="FFFFFF"/>
                <w:sz w:val="16"/>
                <w:szCs w:val="16"/>
              </w:rPr>
              <w:t>Upsize</w:t>
            </w:r>
          </w:p>
        </w:tc>
        <w:tc>
          <w:tcPr>
            <w:tcW w:w="850" w:type="dxa"/>
            <w:shd w:val="clear" w:color="auto" w:fill="1F3B5B"/>
            <w:tcMar>
              <w:top w:w="40" w:type="dxa"/>
              <w:left w:w="70" w:type="dxa"/>
              <w:bottom w:w="40" w:type="dxa"/>
              <w:right w:w="70" w:type="dxa"/>
            </w:tcMar>
          </w:tcPr>
          <w:p w14:paraId="406AE857" w14:textId="77777777" w:rsidR="00F842B3" w:rsidRDefault="007F444F">
            <w:pPr>
              <w:spacing w:line="230" w:lineRule="auto"/>
            </w:pPr>
            <w:r>
              <w:rPr>
                <w:b/>
                <w:bCs/>
                <w:color w:val="FFFFFF"/>
                <w:sz w:val="16"/>
                <w:szCs w:val="16"/>
              </w:rPr>
              <w:t>Realized</w:t>
            </w:r>
          </w:p>
        </w:tc>
        <w:tc>
          <w:tcPr>
            <w:tcW w:w="1050" w:type="dxa"/>
            <w:shd w:val="clear" w:color="auto" w:fill="1F3B5B"/>
            <w:tcMar>
              <w:top w:w="40" w:type="dxa"/>
              <w:left w:w="70" w:type="dxa"/>
              <w:bottom w:w="40" w:type="dxa"/>
              <w:right w:w="70" w:type="dxa"/>
            </w:tcMar>
          </w:tcPr>
          <w:p w14:paraId="406AE858" w14:textId="77777777" w:rsidR="00F842B3" w:rsidRDefault="007F444F">
            <w:pPr>
              <w:spacing w:line="230" w:lineRule="auto"/>
            </w:pPr>
            <w:r>
              <w:rPr>
                <w:b/>
                <w:bCs/>
                <w:color w:val="FFFFFF"/>
                <w:sz w:val="16"/>
                <w:szCs w:val="16"/>
              </w:rPr>
              <w:t>Unrealized Δ</w:t>
            </w:r>
          </w:p>
        </w:tc>
        <w:tc>
          <w:tcPr>
            <w:tcW w:w="1250" w:type="dxa"/>
            <w:shd w:val="clear" w:color="auto" w:fill="1F3B5B"/>
            <w:tcMar>
              <w:top w:w="40" w:type="dxa"/>
              <w:left w:w="70" w:type="dxa"/>
              <w:bottom w:w="40" w:type="dxa"/>
              <w:right w:w="70" w:type="dxa"/>
            </w:tcMar>
          </w:tcPr>
          <w:p w14:paraId="406AE859" w14:textId="77777777" w:rsidR="00F842B3" w:rsidRDefault="007F444F">
            <w:pPr>
              <w:spacing w:line="230" w:lineRule="auto"/>
            </w:pPr>
            <w:r>
              <w:rPr>
                <w:b/>
                <w:bCs/>
                <w:color w:val="FFFFFF"/>
                <w:sz w:val="16"/>
                <w:szCs w:val="16"/>
              </w:rPr>
              <w:t>Holding 3/31/26</w:t>
            </w:r>
          </w:p>
        </w:tc>
        <w:tc>
          <w:tcPr>
            <w:tcW w:w="750" w:type="dxa"/>
            <w:shd w:val="clear" w:color="auto" w:fill="1F3B5B"/>
            <w:tcMar>
              <w:top w:w="40" w:type="dxa"/>
              <w:left w:w="70" w:type="dxa"/>
              <w:bottom w:w="40" w:type="dxa"/>
              <w:right w:w="70" w:type="dxa"/>
            </w:tcMar>
          </w:tcPr>
          <w:p w14:paraId="406AE85A" w14:textId="77777777" w:rsidR="00F842B3" w:rsidRDefault="007F444F">
            <w:pPr>
              <w:spacing w:line="230" w:lineRule="auto"/>
            </w:pPr>
            <w:r>
              <w:rPr>
                <w:b/>
                <w:bCs/>
                <w:color w:val="FFFFFF"/>
                <w:sz w:val="16"/>
                <w:szCs w:val="16"/>
              </w:rPr>
              <w:t>QoQ</w:t>
            </w:r>
          </w:p>
        </w:tc>
        <w:tc>
          <w:tcPr>
            <w:tcW w:w="2100" w:type="dxa"/>
            <w:shd w:val="clear" w:color="auto" w:fill="1F3B5B"/>
            <w:tcMar>
              <w:top w:w="40" w:type="dxa"/>
              <w:left w:w="70" w:type="dxa"/>
              <w:bottom w:w="40" w:type="dxa"/>
              <w:right w:w="70" w:type="dxa"/>
            </w:tcMar>
          </w:tcPr>
          <w:p w14:paraId="406AE85B" w14:textId="77777777" w:rsidR="00F842B3" w:rsidRDefault="007F444F">
            <w:pPr>
              <w:spacing w:line="230" w:lineRule="auto"/>
            </w:pPr>
            <w:r>
              <w:rPr>
                <w:b/>
                <w:bCs/>
                <w:color w:val="FFFFFF"/>
                <w:sz w:val="16"/>
                <w:szCs w:val="16"/>
              </w:rPr>
              <w:t>Driver (per letter)</w:t>
            </w:r>
          </w:p>
        </w:tc>
      </w:tr>
      <w:tr w:rsidR="00F842B3" w14:paraId="406AE865" w14:textId="77777777">
        <w:tc>
          <w:tcPr>
            <w:tcW w:w="1300" w:type="dxa"/>
            <w:shd w:val="clear" w:color="auto" w:fill="FFFFFF"/>
            <w:tcMar>
              <w:top w:w="40" w:type="dxa"/>
              <w:left w:w="70" w:type="dxa"/>
              <w:bottom w:w="40" w:type="dxa"/>
              <w:right w:w="70" w:type="dxa"/>
            </w:tcMar>
          </w:tcPr>
          <w:p w14:paraId="406AE85D" w14:textId="77777777" w:rsidR="00F842B3" w:rsidRDefault="007F444F">
            <w:pPr>
              <w:spacing w:line="230" w:lineRule="auto"/>
            </w:pPr>
            <w:r>
              <w:rPr>
                <w:sz w:val="16"/>
                <w:szCs w:val="16"/>
              </w:rPr>
              <w:t>Lead Edge</w:t>
            </w:r>
          </w:p>
        </w:tc>
        <w:tc>
          <w:tcPr>
            <w:tcW w:w="1250" w:type="dxa"/>
            <w:shd w:val="clear" w:color="auto" w:fill="FFFFFF"/>
            <w:tcMar>
              <w:top w:w="40" w:type="dxa"/>
              <w:left w:w="70" w:type="dxa"/>
              <w:bottom w:w="40" w:type="dxa"/>
              <w:right w:w="70" w:type="dxa"/>
            </w:tcMar>
          </w:tcPr>
          <w:p w14:paraId="406AE85E" w14:textId="77777777" w:rsidR="00F842B3" w:rsidRDefault="007F444F">
            <w:pPr>
              <w:spacing w:line="230" w:lineRule="auto"/>
            </w:pPr>
            <w:r>
              <w:rPr>
                <w:sz w:val="16"/>
                <w:szCs w:val="16"/>
              </w:rPr>
              <w:t>391.4</w:t>
            </w:r>
          </w:p>
        </w:tc>
        <w:tc>
          <w:tcPr>
            <w:tcW w:w="750" w:type="dxa"/>
            <w:shd w:val="clear" w:color="auto" w:fill="FFFFFF"/>
            <w:tcMar>
              <w:top w:w="40" w:type="dxa"/>
              <w:left w:w="70" w:type="dxa"/>
              <w:bottom w:w="40" w:type="dxa"/>
              <w:right w:w="70" w:type="dxa"/>
            </w:tcMar>
          </w:tcPr>
          <w:p w14:paraId="406AE85F" w14:textId="77777777" w:rsidR="00F842B3" w:rsidRDefault="007F444F">
            <w:pPr>
              <w:spacing w:line="230" w:lineRule="auto"/>
            </w:pPr>
            <w:r>
              <w:rPr>
                <w:sz w:val="16"/>
                <w:szCs w:val="16"/>
              </w:rPr>
              <w:t>—</w:t>
            </w:r>
          </w:p>
        </w:tc>
        <w:tc>
          <w:tcPr>
            <w:tcW w:w="850" w:type="dxa"/>
            <w:shd w:val="clear" w:color="auto" w:fill="FFFFFF"/>
            <w:tcMar>
              <w:top w:w="40" w:type="dxa"/>
              <w:left w:w="70" w:type="dxa"/>
              <w:bottom w:w="40" w:type="dxa"/>
              <w:right w:w="70" w:type="dxa"/>
            </w:tcMar>
          </w:tcPr>
          <w:p w14:paraId="406AE860" w14:textId="77777777" w:rsidR="00F842B3" w:rsidRDefault="007F444F">
            <w:pPr>
              <w:spacing w:line="230" w:lineRule="auto"/>
            </w:pPr>
            <w:r>
              <w:rPr>
                <w:sz w:val="16"/>
                <w:szCs w:val="16"/>
              </w:rPr>
              <w:t>(4.7)</w:t>
            </w:r>
          </w:p>
        </w:tc>
        <w:tc>
          <w:tcPr>
            <w:tcW w:w="1050" w:type="dxa"/>
            <w:shd w:val="clear" w:color="auto" w:fill="FFFFFF"/>
            <w:tcMar>
              <w:top w:w="40" w:type="dxa"/>
              <w:left w:w="70" w:type="dxa"/>
              <w:bottom w:w="40" w:type="dxa"/>
              <w:right w:w="70" w:type="dxa"/>
            </w:tcMar>
          </w:tcPr>
          <w:p w14:paraId="406AE861" w14:textId="77777777" w:rsidR="00F842B3" w:rsidRDefault="007F444F">
            <w:pPr>
              <w:spacing w:line="230" w:lineRule="auto"/>
            </w:pPr>
            <w:r>
              <w:rPr>
                <w:sz w:val="16"/>
                <w:szCs w:val="16"/>
              </w:rPr>
              <w:t>+90.3</w:t>
            </w:r>
          </w:p>
        </w:tc>
        <w:tc>
          <w:tcPr>
            <w:tcW w:w="1250" w:type="dxa"/>
            <w:shd w:val="clear" w:color="auto" w:fill="FFFFFF"/>
            <w:tcMar>
              <w:top w:w="40" w:type="dxa"/>
              <w:left w:w="70" w:type="dxa"/>
              <w:bottom w:w="40" w:type="dxa"/>
              <w:right w:w="70" w:type="dxa"/>
            </w:tcMar>
          </w:tcPr>
          <w:p w14:paraId="406AE862" w14:textId="77777777" w:rsidR="00F842B3" w:rsidRDefault="007F444F">
            <w:pPr>
              <w:spacing w:line="230" w:lineRule="auto"/>
            </w:pPr>
            <w:r>
              <w:rPr>
                <w:sz w:val="16"/>
                <w:szCs w:val="16"/>
              </w:rPr>
              <w:t>477.0</w:t>
            </w:r>
          </w:p>
        </w:tc>
        <w:tc>
          <w:tcPr>
            <w:tcW w:w="750" w:type="dxa"/>
            <w:shd w:val="clear" w:color="auto" w:fill="FFFFFF"/>
            <w:tcMar>
              <w:top w:w="40" w:type="dxa"/>
              <w:left w:w="70" w:type="dxa"/>
              <w:bottom w:w="40" w:type="dxa"/>
              <w:right w:w="70" w:type="dxa"/>
            </w:tcMar>
          </w:tcPr>
          <w:p w14:paraId="406AE863" w14:textId="77777777" w:rsidR="00F842B3" w:rsidRDefault="007F444F">
            <w:pPr>
              <w:spacing w:line="230" w:lineRule="auto"/>
            </w:pPr>
            <w:r>
              <w:rPr>
                <w:sz w:val="16"/>
                <w:szCs w:val="16"/>
              </w:rPr>
              <w:t>+23.7%</w:t>
            </w:r>
          </w:p>
        </w:tc>
        <w:tc>
          <w:tcPr>
            <w:tcW w:w="2100" w:type="dxa"/>
            <w:shd w:val="clear" w:color="auto" w:fill="FFFFFF"/>
            <w:tcMar>
              <w:top w:w="40" w:type="dxa"/>
              <w:left w:w="70" w:type="dxa"/>
              <w:bottom w:w="40" w:type="dxa"/>
              <w:right w:w="70" w:type="dxa"/>
            </w:tcMar>
          </w:tcPr>
          <w:p w14:paraId="406AE864" w14:textId="77777777" w:rsidR="00F842B3" w:rsidRDefault="007F444F">
            <w:pPr>
              <w:spacing w:line="230" w:lineRule="auto"/>
            </w:pPr>
            <w:r>
              <w:rPr>
                <w:sz w:val="16"/>
                <w:szCs w:val="16"/>
              </w:rPr>
              <w:t>Tag-along sale of part of stake at a premium to the mark</w:t>
            </w:r>
          </w:p>
        </w:tc>
      </w:tr>
      <w:tr w:rsidR="00F842B3" w14:paraId="406AE86E" w14:textId="77777777">
        <w:tc>
          <w:tcPr>
            <w:tcW w:w="1300" w:type="dxa"/>
            <w:shd w:val="clear" w:color="auto" w:fill="F2F5FB"/>
            <w:tcMar>
              <w:top w:w="40" w:type="dxa"/>
              <w:left w:w="70" w:type="dxa"/>
              <w:bottom w:w="40" w:type="dxa"/>
              <w:right w:w="70" w:type="dxa"/>
            </w:tcMar>
          </w:tcPr>
          <w:p w14:paraId="406AE866" w14:textId="77777777" w:rsidR="00F842B3" w:rsidRDefault="007F444F">
            <w:pPr>
              <w:spacing w:line="230" w:lineRule="auto"/>
            </w:pPr>
            <w:r>
              <w:rPr>
                <w:sz w:val="16"/>
                <w:szCs w:val="16"/>
              </w:rPr>
              <w:t>CVC</w:t>
            </w:r>
          </w:p>
        </w:tc>
        <w:tc>
          <w:tcPr>
            <w:tcW w:w="1250" w:type="dxa"/>
            <w:shd w:val="clear" w:color="auto" w:fill="F2F5FB"/>
            <w:tcMar>
              <w:top w:w="40" w:type="dxa"/>
              <w:left w:w="70" w:type="dxa"/>
              <w:bottom w:w="40" w:type="dxa"/>
              <w:right w:w="70" w:type="dxa"/>
            </w:tcMar>
          </w:tcPr>
          <w:p w14:paraId="406AE867" w14:textId="77777777" w:rsidR="00F842B3" w:rsidRDefault="007F444F">
            <w:pPr>
              <w:spacing w:line="230" w:lineRule="auto"/>
            </w:pPr>
            <w:r>
              <w:rPr>
                <w:sz w:val="16"/>
                <w:szCs w:val="16"/>
              </w:rPr>
              <w:t>1,149.1</w:t>
            </w:r>
          </w:p>
        </w:tc>
        <w:tc>
          <w:tcPr>
            <w:tcW w:w="750" w:type="dxa"/>
            <w:shd w:val="clear" w:color="auto" w:fill="F2F5FB"/>
            <w:tcMar>
              <w:top w:w="40" w:type="dxa"/>
              <w:left w:w="70" w:type="dxa"/>
              <w:bottom w:w="40" w:type="dxa"/>
              <w:right w:w="70" w:type="dxa"/>
            </w:tcMar>
          </w:tcPr>
          <w:p w14:paraId="406AE868" w14:textId="77777777" w:rsidR="00F842B3" w:rsidRDefault="007F444F">
            <w:pPr>
              <w:spacing w:line="230" w:lineRule="auto"/>
            </w:pPr>
            <w:r>
              <w:rPr>
                <w:sz w:val="16"/>
                <w:szCs w:val="16"/>
              </w:rPr>
              <w:t>292.4</w:t>
            </w:r>
          </w:p>
        </w:tc>
        <w:tc>
          <w:tcPr>
            <w:tcW w:w="850" w:type="dxa"/>
            <w:shd w:val="clear" w:color="auto" w:fill="F2F5FB"/>
            <w:tcMar>
              <w:top w:w="40" w:type="dxa"/>
              <w:left w:w="70" w:type="dxa"/>
              <w:bottom w:w="40" w:type="dxa"/>
              <w:right w:w="70" w:type="dxa"/>
            </w:tcMar>
          </w:tcPr>
          <w:p w14:paraId="406AE869" w14:textId="77777777" w:rsidR="00F842B3" w:rsidRDefault="007F444F">
            <w:pPr>
              <w:spacing w:line="230" w:lineRule="auto"/>
            </w:pPr>
            <w:r>
              <w:rPr>
                <w:sz w:val="16"/>
                <w:szCs w:val="16"/>
              </w:rPr>
              <w:t>—</w:t>
            </w:r>
          </w:p>
        </w:tc>
        <w:tc>
          <w:tcPr>
            <w:tcW w:w="1050" w:type="dxa"/>
            <w:shd w:val="clear" w:color="auto" w:fill="F2F5FB"/>
            <w:tcMar>
              <w:top w:w="40" w:type="dxa"/>
              <w:left w:w="70" w:type="dxa"/>
              <w:bottom w:w="40" w:type="dxa"/>
              <w:right w:w="70" w:type="dxa"/>
            </w:tcMar>
          </w:tcPr>
          <w:p w14:paraId="406AE86A" w14:textId="77777777" w:rsidR="00F842B3" w:rsidRDefault="007F444F">
            <w:pPr>
              <w:spacing w:line="230" w:lineRule="auto"/>
            </w:pPr>
            <w:r>
              <w:rPr>
                <w:sz w:val="16"/>
                <w:szCs w:val="16"/>
              </w:rPr>
              <w:t>(276.3)</w:t>
            </w:r>
          </w:p>
        </w:tc>
        <w:tc>
          <w:tcPr>
            <w:tcW w:w="1250" w:type="dxa"/>
            <w:shd w:val="clear" w:color="auto" w:fill="F2F5FB"/>
            <w:tcMar>
              <w:top w:w="40" w:type="dxa"/>
              <w:left w:w="70" w:type="dxa"/>
              <w:bottom w:w="40" w:type="dxa"/>
              <w:right w:w="70" w:type="dxa"/>
            </w:tcMar>
          </w:tcPr>
          <w:p w14:paraId="406AE86B" w14:textId="77777777" w:rsidR="00F842B3" w:rsidRDefault="007F444F">
            <w:pPr>
              <w:spacing w:line="230" w:lineRule="auto"/>
            </w:pPr>
            <w:r>
              <w:rPr>
                <w:sz w:val="16"/>
                <w:szCs w:val="16"/>
              </w:rPr>
              <w:t>1,165.2</w:t>
            </w:r>
          </w:p>
        </w:tc>
        <w:tc>
          <w:tcPr>
            <w:tcW w:w="750" w:type="dxa"/>
            <w:shd w:val="clear" w:color="auto" w:fill="F2F5FB"/>
            <w:tcMar>
              <w:top w:w="40" w:type="dxa"/>
              <w:left w:w="70" w:type="dxa"/>
              <w:bottom w:w="40" w:type="dxa"/>
              <w:right w:w="70" w:type="dxa"/>
            </w:tcMar>
          </w:tcPr>
          <w:p w14:paraId="406AE86C" w14:textId="77777777" w:rsidR="00F842B3" w:rsidRDefault="007F444F">
            <w:pPr>
              <w:spacing w:line="230" w:lineRule="auto"/>
            </w:pPr>
            <w:r>
              <w:rPr>
                <w:sz w:val="16"/>
                <w:szCs w:val="16"/>
              </w:rPr>
              <w:t>-19.2%</w:t>
            </w:r>
          </w:p>
        </w:tc>
        <w:tc>
          <w:tcPr>
            <w:tcW w:w="2100" w:type="dxa"/>
            <w:shd w:val="clear" w:color="auto" w:fill="F2F5FB"/>
            <w:tcMar>
              <w:top w:w="40" w:type="dxa"/>
              <w:left w:w="70" w:type="dxa"/>
              <w:bottom w:w="40" w:type="dxa"/>
              <w:right w:w="70" w:type="dxa"/>
            </w:tcMar>
          </w:tcPr>
          <w:p w14:paraId="406AE86D" w14:textId="77777777" w:rsidR="00F842B3" w:rsidRDefault="007F444F">
            <w:pPr>
              <w:spacing w:line="230" w:lineRule="auto"/>
            </w:pPr>
            <w:r>
              <w:rPr>
                <w:sz w:val="16"/>
                <w:szCs w:val="16"/>
              </w:rPr>
              <w:t xml:space="preserve">Listed shares fell ~19.2% in Q1; fund added ~€230.0m at €12.02 </w:t>
            </w:r>
            <w:proofErr w:type="spellStart"/>
            <w:r>
              <w:rPr>
                <w:sz w:val="16"/>
                <w:szCs w:val="16"/>
              </w:rPr>
              <w:t>avg</w:t>
            </w:r>
            <w:proofErr w:type="spellEnd"/>
          </w:p>
        </w:tc>
      </w:tr>
      <w:tr w:rsidR="00F842B3" w14:paraId="406AE877" w14:textId="77777777">
        <w:tc>
          <w:tcPr>
            <w:tcW w:w="1300" w:type="dxa"/>
            <w:shd w:val="clear" w:color="auto" w:fill="FFFFFF"/>
            <w:tcMar>
              <w:top w:w="40" w:type="dxa"/>
              <w:left w:w="70" w:type="dxa"/>
              <w:bottom w:w="40" w:type="dxa"/>
              <w:right w:w="70" w:type="dxa"/>
            </w:tcMar>
          </w:tcPr>
          <w:p w14:paraId="406AE86F" w14:textId="77777777" w:rsidR="00F842B3" w:rsidRDefault="007F444F">
            <w:pPr>
              <w:spacing w:line="230" w:lineRule="auto"/>
            </w:pPr>
            <w:r>
              <w:rPr>
                <w:sz w:val="16"/>
                <w:szCs w:val="16"/>
              </w:rPr>
              <w:t>MBK</w:t>
            </w:r>
          </w:p>
        </w:tc>
        <w:tc>
          <w:tcPr>
            <w:tcW w:w="1250" w:type="dxa"/>
            <w:shd w:val="clear" w:color="auto" w:fill="FFFFFF"/>
            <w:tcMar>
              <w:top w:w="40" w:type="dxa"/>
              <w:left w:w="70" w:type="dxa"/>
              <w:bottom w:w="40" w:type="dxa"/>
              <w:right w:w="70" w:type="dxa"/>
            </w:tcMar>
          </w:tcPr>
          <w:p w14:paraId="406AE870" w14:textId="77777777" w:rsidR="00F842B3" w:rsidRDefault="007F444F">
            <w:pPr>
              <w:spacing w:line="230" w:lineRule="auto"/>
            </w:pPr>
            <w:r>
              <w:rPr>
                <w:sz w:val="16"/>
                <w:szCs w:val="16"/>
              </w:rPr>
              <w:t>815.8</w:t>
            </w:r>
          </w:p>
        </w:tc>
        <w:tc>
          <w:tcPr>
            <w:tcW w:w="750" w:type="dxa"/>
            <w:shd w:val="clear" w:color="auto" w:fill="FFFFFF"/>
            <w:tcMar>
              <w:top w:w="40" w:type="dxa"/>
              <w:left w:w="70" w:type="dxa"/>
              <w:bottom w:w="40" w:type="dxa"/>
              <w:right w:w="70" w:type="dxa"/>
            </w:tcMar>
          </w:tcPr>
          <w:p w14:paraId="406AE871" w14:textId="77777777" w:rsidR="00F842B3" w:rsidRDefault="007F444F">
            <w:pPr>
              <w:spacing w:line="230" w:lineRule="auto"/>
            </w:pPr>
            <w:r>
              <w:rPr>
                <w:sz w:val="16"/>
                <w:szCs w:val="16"/>
              </w:rPr>
              <w:t>—</w:t>
            </w:r>
          </w:p>
        </w:tc>
        <w:tc>
          <w:tcPr>
            <w:tcW w:w="850" w:type="dxa"/>
            <w:shd w:val="clear" w:color="auto" w:fill="FFFFFF"/>
            <w:tcMar>
              <w:top w:w="40" w:type="dxa"/>
              <w:left w:w="70" w:type="dxa"/>
              <w:bottom w:w="40" w:type="dxa"/>
              <w:right w:w="70" w:type="dxa"/>
            </w:tcMar>
          </w:tcPr>
          <w:p w14:paraId="406AE872" w14:textId="77777777" w:rsidR="00F842B3" w:rsidRDefault="007F444F">
            <w:pPr>
              <w:spacing w:line="230" w:lineRule="auto"/>
            </w:pPr>
            <w:r>
              <w:rPr>
                <w:sz w:val="16"/>
                <w:szCs w:val="16"/>
              </w:rPr>
              <w:t>—</w:t>
            </w:r>
          </w:p>
        </w:tc>
        <w:tc>
          <w:tcPr>
            <w:tcW w:w="1050" w:type="dxa"/>
            <w:shd w:val="clear" w:color="auto" w:fill="FFFFFF"/>
            <w:tcMar>
              <w:top w:w="40" w:type="dxa"/>
              <w:left w:w="70" w:type="dxa"/>
              <w:bottom w:w="40" w:type="dxa"/>
              <w:right w:w="70" w:type="dxa"/>
            </w:tcMar>
          </w:tcPr>
          <w:p w14:paraId="406AE873" w14:textId="77777777" w:rsidR="00F842B3" w:rsidRDefault="007F444F">
            <w:pPr>
              <w:spacing w:line="230" w:lineRule="auto"/>
            </w:pPr>
            <w:r>
              <w:rPr>
                <w:sz w:val="16"/>
                <w:szCs w:val="16"/>
              </w:rPr>
              <w:t>(115.8)</w:t>
            </w:r>
          </w:p>
        </w:tc>
        <w:tc>
          <w:tcPr>
            <w:tcW w:w="1250" w:type="dxa"/>
            <w:shd w:val="clear" w:color="auto" w:fill="FFFFFF"/>
            <w:tcMar>
              <w:top w:w="40" w:type="dxa"/>
              <w:left w:w="70" w:type="dxa"/>
              <w:bottom w:w="40" w:type="dxa"/>
              <w:right w:w="70" w:type="dxa"/>
            </w:tcMar>
          </w:tcPr>
          <w:p w14:paraId="406AE874" w14:textId="77777777" w:rsidR="00F842B3" w:rsidRDefault="007F444F">
            <w:pPr>
              <w:spacing w:line="230" w:lineRule="auto"/>
            </w:pPr>
            <w:r>
              <w:rPr>
                <w:sz w:val="16"/>
                <w:szCs w:val="16"/>
              </w:rPr>
              <w:t>700.0</w:t>
            </w:r>
          </w:p>
        </w:tc>
        <w:tc>
          <w:tcPr>
            <w:tcW w:w="750" w:type="dxa"/>
            <w:shd w:val="clear" w:color="auto" w:fill="FFFFFF"/>
            <w:tcMar>
              <w:top w:w="40" w:type="dxa"/>
              <w:left w:w="70" w:type="dxa"/>
              <w:bottom w:w="40" w:type="dxa"/>
              <w:right w:w="70" w:type="dxa"/>
            </w:tcMar>
          </w:tcPr>
          <w:p w14:paraId="406AE875" w14:textId="77777777" w:rsidR="00F842B3" w:rsidRDefault="007F444F">
            <w:pPr>
              <w:spacing w:line="230" w:lineRule="auto"/>
            </w:pPr>
            <w:r>
              <w:rPr>
                <w:sz w:val="16"/>
                <w:szCs w:val="16"/>
              </w:rPr>
              <w:t>-14.2%</w:t>
            </w:r>
          </w:p>
        </w:tc>
        <w:tc>
          <w:tcPr>
            <w:tcW w:w="2100" w:type="dxa"/>
            <w:shd w:val="clear" w:color="auto" w:fill="FFFFFF"/>
            <w:tcMar>
              <w:top w:w="40" w:type="dxa"/>
              <w:left w:w="70" w:type="dxa"/>
              <w:bottom w:w="40" w:type="dxa"/>
              <w:right w:w="70" w:type="dxa"/>
            </w:tcMar>
          </w:tcPr>
          <w:p w14:paraId="406AE876" w14:textId="77777777" w:rsidR="00F842B3" w:rsidRDefault="007F444F">
            <w:pPr>
              <w:spacing w:line="230" w:lineRule="auto"/>
            </w:pPr>
            <w:r>
              <w:rPr>
                <w:sz w:val="16"/>
                <w:szCs w:val="16"/>
              </w:rPr>
              <w:t>Slower realizations; delay in fundraising of new products</w:t>
            </w:r>
          </w:p>
        </w:tc>
      </w:tr>
      <w:tr w:rsidR="00F842B3" w14:paraId="406AE880" w14:textId="77777777">
        <w:tc>
          <w:tcPr>
            <w:tcW w:w="1300" w:type="dxa"/>
            <w:shd w:val="clear" w:color="auto" w:fill="F2F5FB"/>
            <w:tcMar>
              <w:top w:w="40" w:type="dxa"/>
              <w:left w:w="70" w:type="dxa"/>
              <w:bottom w:w="40" w:type="dxa"/>
              <w:right w:w="70" w:type="dxa"/>
            </w:tcMar>
          </w:tcPr>
          <w:p w14:paraId="406AE878" w14:textId="77777777" w:rsidR="00F842B3" w:rsidRDefault="007F444F">
            <w:pPr>
              <w:spacing w:line="230" w:lineRule="auto"/>
            </w:pPr>
            <w:r>
              <w:rPr>
                <w:sz w:val="16"/>
                <w:szCs w:val="16"/>
              </w:rPr>
              <w:t>PAI</w:t>
            </w:r>
          </w:p>
        </w:tc>
        <w:tc>
          <w:tcPr>
            <w:tcW w:w="1250" w:type="dxa"/>
            <w:shd w:val="clear" w:color="auto" w:fill="F2F5FB"/>
            <w:tcMar>
              <w:top w:w="40" w:type="dxa"/>
              <w:left w:w="70" w:type="dxa"/>
              <w:bottom w:w="40" w:type="dxa"/>
              <w:right w:w="70" w:type="dxa"/>
            </w:tcMar>
          </w:tcPr>
          <w:p w14:paraId="406AE879" w14:textId="77777777" w:rsidR="00F842B3" w:rsidRDefault="007F444F">
            <w:pPr>
              <w:spacing w:line="230" w:lineRule="auto"/>
            </w:pPr>
            <w:r>
              <w:rPr>
                <w:sz w:val="16"/>
                <w:szCs w:val="16"/>
              </w:rPr>
              <w:t>1,042.9</w:t>
            </w:r>
          </w:p>
        </w:tc>
        <w:tc>
          <w:tcPr>
            <w:tcW w:w="750" w:type="dxa"/>
            <w:shd w:val="clear" w:color="auto" w:fill="F2F5FB"/>
            <w:tcMar>
              <w:top w:w="40" w:type="dxa"/>
              <w:left w:w="70" w:type="dxa"/>
              <w:bottom w:w="40" w:type="dxa"/>
              <w:right w:w="70" w:type="dxa"/>
            </w:tcMar>
          </w:tcPr>
          <w:p w14:paraId="406AE87A" w14:textId="77777777" w:rsidR="00F842B3" w:rsidRDefault="007F444F">
            <w:pPr>
              <w:spacing w:line="230" w:lineRule="auto"/>
            </w:pPr>
            <w:r>
              <w:rPr>
                <w:sz w:val="16"/>
                <w:szCs w:val="16"/>
              </w:rPr>
              <w:t>—</w:t>
            </w:r>
          </w:p>
        </w:tc>
        <w:tc>
          <w:tcPr>
            <w:tcW w:w="850" w:type="dxa"/>
            <w:shd w:val="clear" w:color="auto" w:fill="F2F5FB"/>
            <w:tcMar>
              <w:top w:w="40" w:type="dxa"/>
              <w:left w:w="70" w:type="dxa"/>
              <w:bottom w:w="40" w:type="dxa"/>
              <w:right w:w="70" w:type="dxa"/>
            </w:tcMar>
          </w:tcPr>
          <w:p w14:paraId="406AE87B" w14:textId="77777777" w:rsidR="00F842B3" w:rsidRDefault="007F444F">
            <w:pPr>
              <w:spacing w:line="230" w:lineRule="auto"/>
            </w:pPr>
            <w:r>
              <w:rPr>
                <w:sz w:val="16"/>
                <w:szCs w:val="16"/>
              </w:rPr>
              <w:t>—</w:t>
            </w:r>
          </w:p>
        </w:tc>
        <w:tc>
          <w:tcPr>
            <w:tcW w:w="1050" w:type="dxa"/>
            <w:shd w:val="clear" w:color="auto" w:fill="F2F5FB"/>
            <w:tcMar>
              <w:top w:w="40" w:type="dxa"/>
              <w:left w:w="70" w:type="dxa"/>
              <w:bottom w:w="40" w:type="dxa"/>
              <w:right w:w="70" w:type="dxa"/>
            </w:tcMar>
          </w:tcPr>
          <w:p w14:paraId="406AE87C" w14:textId="77777777" w:rsidR="00F842B3" w:rsidRDefault="007F444F">
            <w:pPr>
              <w:spacing w:line="230" w:lineRule="auto"/>
            </w:pPr>
            <w:r>
              <w:rPr>
                <w:sz w:val="16"/>
                <w:szCs w:val="16"/>
              </w:rPr>
              <w:t>(19.8)</w:t>
            </w:r>
          </w:p>
        </w:tc>
        <w:tc>
          <w:tcPr>
            <w:tcW w:w="1250" w:type="dxa"/>
            <w:shd w:val="clear" w:color="auto" w:fill="F2F5FB"/>
            <w:tcMar>
              <w:top w:w="40" w:type="dxa"/>
              <w:left w:w="70" w:type="dxa"/>
              <w:bottom w:w="40" w:type="dxa"/>
              <w:right w:w="70" w:type="dxa"/>
            </w:tcMar>
          </w:tcPr>
          <w:p w14:paraId="406AE87D" w14:textId="77777777" w:rsidR="00F842B3" w:rsidRDefault="007F444F">
            <w:pPr>
              <w:spacing w:line="230" w:lineRule="auto"/>
            </w:pPr>
            <w:r>
              <w:rPr>
                <w:sz w:val="16"/>
                <w:szCs w:val="16"/>
              </w:rPr>
              <w:t>1,023.1</w:t>
            </w:r>
          </w:p>
        </w:tc>
        <w:tc>
          <w:tcPr>
            <w:tcW w:w="750" w:type="dxa"/>
            <w:shd w:val="clear" w:color="auto" w:fill="F2F5FB"/>
            <w:tcMar>
              <w:top w:w="40" w:type="dxa"/>
              <w:left w:w="70" w:type="dxa"/>
              <w:bottom w:w="40" w:type="dxa"/>
              <w:right w:w="70" w:type="dxa"/>
            </w:tcMar>
          </w:tcPr>
          <w:p w14:paraId="406AE87E" w14:textId="77777777" w:rsidR="00F842B3" w:rsidRDefault="007F444F">
            <w:pPr>
              <w:spacing w:line="230" w:lineRule="auto"/>
            </w:pPr>
            <w:r>
              <w:rPr>
                <w:sz w:val="16"/>
                <w:szCs w:val="16"/>
              </w:rPr>
              <w:t>-1.9%</w:t>
            </w:r>
          </w:p>
        </w:tc>
        <w:tc>
          <w:tcPr>
            <w:tcW w:w="2100" w:type="dxa"/>
            <w:shd w:val="clear" w:color="auto" w:fill="F2F5FB"/>
            <w:tcMar>
              <w:top w:w="40" w:type="dxa"/>
              <w:left w:w="70" w:type="dxa"/>
              <w:bottom w:w="40" w:type="dxa"/>
              <w:right w:w="70" w:type="dxa"/>
            </w:tcMar>
          </w:tcPr>
          <w:p w14:paraId="406AE87F" w14:textId="77777777" w:rsidR="00F842B3" w:rsidRDefault="007F444F">
            <w:pPr>
              <w:spacing w:line="230" w:lineRule="auto"/>
            </w:pPr>
            <w:r>
              <w:rPr>
                <w:sz w:val="16"/>
                <w:szCs w:val="16"/>
              </w:rPr>
              <w:t>FX appreciation</w:t>
            </w:r>
          </w:p>
        </w:tc>
      </w:tr>
      <w:tr w:rsidR="00F842B3" w14:paraId="406AE889" w14:textId="77777777">
        <w:tc>
          <w:tcPr>
            <w:tcW w:w="1300" w:type="dxa"/>
            <w:shd w:val="clear" w:color="auto" w:fill="FFFFFF"/>
            <w:tcMar>
              <w:top w:w="40" w:type="dxa"/>
              <w:left w:w="70" w:type="dxa"/>
              <w:bottom w:w="40" w:type="dxa"/>
              <w:right w:w="70" w:type="dxa"/>
            </w:tcMar>
          </w:tcPr>
          <w:p w14:paraId="406AE881" w14:textId="77777777" w:rsidR="00F842B3" w:rsidRDefault="007F444F">
            <w:pPr>
              <w:spacing w:line="230" w:lineRule="auto"/>
            </w:pPr>
            <w:proofErr w:type="spellStart"/>
            <w:r>
              <w:rPr>
                <w:sz w:val="16"/>
                <w:szCs w:val="16"/>
              </w:rPr>
              <w:t>WarwickRe</w:t>
            </w:r>
            <w:proofErr w:type="spellEnd"/>
          </w:p>
        </w:tc>
        <w:tc>
          <w:tcPr>
            <w:tcW w:w="1250" w:type="dxa"/>
            <w:shd w:val="clear" w:color="auto" w:fill="FFFFFF"/>
            <w:tcMar>
              <w:top w:w="40" w:type="dxa"/>
              <w:left w:w="70" w:type="dxa"/>
              <w:bottom w:w="40" w:type="dxa"/>
              <w:right w:w="70" w:type="dxa"/>
            </w:tcMar>
          </w:tcPr>
          <w:p w14:paraId="406AE882" w14:textId="77777777" w:rsidR="00F842B3" w:rsidRDefault="007F444F">
            <w:pPr>
              <w:spacing w:line="230" w:lineRule="auto"/>
            </w:pPr>
            <w:r>
              <w:rPr>
                <w:sz w:val="16"/>
                <w:szCs w:val="16"/>
              </w:rPr>
              <w:t>40.0</w:t>
            </w:r>
          </w:p>
        </w:tc>
        <w:tc>
          <w:tcPr>
            <w:tcW w:w="750" w:type="dxa"/>
            <w:shd w:val="clear" w:color="auto" w:fill="FFFFFF"/>
            <w:tcMar>
              <w:top w:w="40" w:type="dxa"/>
              <w:left w:w="70" w:type="dxa"/>
              <w:bottom w:w="40" w:type="dxa"/>
              <w:right w:w="70" w:type="dxa"/>
            </w:tcMar>
          </w:tcPr>
          <w:p w14:paraId="406AE883" w14:textId="77777777" w:rsidR="00F842B3" w:rsidRDefault="007F444F">
            <w:pPr>
              <w:spacing w:line="230" w:lineRule="auto"/>
            </w:pPr>
            <w:r>
              <w:rPr>
                <w:sz w:val="16"/>
                <w:szCs w:val="16"/>
              </w:rPr>
              <w:t>—</w:t>
            </w:r>
          </w:p>
        </w:tc>
        <w:tc>
          <w:tcPr>
            <w:tcW w:w="850" w:type="dxa"/>
            <w:shd w:val="clear" w:color="auto" w:fill="FFFFFF"/>
            <w:tcMar>
              <w:top w:w="40" w:type="dxa"/>
              <w:left w:w="70" w:type="dxa"/>
              <w:bottom w:w="40" w:type="dxa"/>
              <w:right w:w="70" w:type="dxa"/>
            </w:tcMar>
          </w:tcPr>
          <w:p w14:paraId="406AE884" w14:textId="77777777" w:rsidR="00F842B3" w:rsidRDefault="007F444F">
            <w:pPr>
              <w:spacing w:line="230" w:lineRule="auto"/>
            </w:pPr>
            <w:r>
              <w:rPr>
                <w:sz w:val="16"/>
                <w:szCs w:val="16"/>
              </w:rPr>
              <w:t>(40.0)</w:t>
            </w:r>
          </w:p>
        </w:tc>
        <w:tc>
          <w:tcPr>
            <w:tcW w:w="1050" w:type="dxa"/>
            <w:shd w:val="clear" w:color="auto" w:fill="FFFFFF"/>
            <w:tcMar>
              <w:top w:w="40" w:type="dxa"/>
              <w:left w:w="70" w:type="dxa"/>
              <w:bottom w:w="40" w:type="dxa"/>
              <w:right w:w="70" w:type="dxa"/>
            </w:tcMar>
          </w:tcPr>
          <w:p w14:paraId="406AE885" w14:textId="77777777" w:rsidR="00F842B3" w:rsidRDefault="007F444F">
            <w:pPr>
              <w:spacing w:line="230" w:lineRule="auto"/>
            </w:pPr>
            <w:r>
              <w:rPr>
                <w:sz w:val="16"/>
                <w:szCs w:val="16"/>
              </w:rPr>
              <w:t>—</w:t>
            </w:r>
          </w:p>
        </w:tc>
        <w:tc>
          <w:tcPr>
            <w:tcW w:w="1250" w:type="dxa"/>
            <w:shd w:val="clear" w:color="auto" w:fill="FFFFFF"/>
            <w:tcMar>
              <w:top w:w="40" w:type="dxa"/>
              <w:left w:w="70" w:type="dxa"/>
              <w:bottom w:w="40" w:type="dxa"/>
              <w:right w:w="70" w:type="dxa"/>
            </w:tcMar>
          </w:tcPr>
          <w:p w14:paraId="406AE886" w14:textId="77777777" w:rsidR="00F842B3" w:rsidRDefault="007F444F">
            <w:pPr>
              <w:spacing w:line="230" w:lineRule="auto"/>
            </w:pPr>
            <w:r>
              <w:rPr>
                <w:sz w:val="16"/>
                <w:szCs w:val="16"/>
              </w:rPr>
              <w:t>—</w:t>
            </w:r>
          </w:p>
        </w:tc>
        <w:tc>
          <w:tcPr>
            <w:tcW w:w="750" w:type="dxa"/>
            <w:shd w:val="clear" w:color="auto" w:fill="FFFFFF"/>
            <w:tcMar>
              <w:top w:w="40" w:type="dxa"/>
              <w:left w:w="70" w:type="dxa"/>
              <w:bottom w:w="40" w:type="dxa"/>
              <w:right w:w="70" w:type="dxa"/>
            </w:tcMar>
          </w:tcPr>
          <w:p w14:paraId="406AE887" w14:textId="77777777" w:rsidR="00F842B3" w:rsidRDefault="007F444F">
            <w:pPr>
              <w:spacing w:line="230" w:lineRule="auto"/>
            </w:pPr>
            <w:r>
              <w:rPr>
                <w:sz w:val="16"/>
                <w:szCs w:val="16"/>
              </w:rPr>
              <w:t>Realized</w:t>
            </w:r>
          </w:p>
        </w:tc>
        <w:tc>
          <w:tcPr>
            <w:tcW w:w="2100" w:type="dxa"/>
            <w:shd w:val="clear" w:color="auto" w:fill="FFFFFF"/>
            <w:tcMar>
              <w:top w:w="40" w:type="dxa"/>
              <w:left w:w="70" w:type="dxa"/>
              <w:bottom w:w="40" w:type="dxa"/>
              <w:right w:w="70" w:type="dxa"/>
            </w:tcMar>
          </w:tcPr>
          <w:p w14:paraId="406AE888" w14:textId="77777777" w:rsidR="00F842B3" w:rsidRDefault="007F444F">
            <w:pPr>
              <w:spacing w:line="230" w:lineRule="auto"/>
            </w:pPr>
            <w:r>
              <w:rPr>
                <w:sz w:val="16"/>
                <w:szCs w:val="16"/>
              </w:rPr>
              <w:t>Final redemption settlement; position fully exited</w:t>
            </w:r>
          </w:p>
        </w:tc>
      </w:tr>
      <w:tr w:rsidR="00F842B3" w14:paraId="406AE892" w14:textId="77777777">
        <w:tc>
          <w:tcPr>
            <w:tcW w:w="1300" w:type="dxa"/>
            <w:shd w:val="clear" w:color="auto" w:fill="F2F5FB"/>
            <w:tcMar>
              <w:top w:w="40" w:type="dxa"/>
              <w:left w:w="70" w:type="dxa"/>
              <w:bottom w:w="40" w:type="dxa"/>
              <w:right w:w="70" w:type="dxa"/>
            </w:tcMar>
          </w:tcPr>
          <w:p w14:paraId="406AE88A" w14:textId="77777777" w:rsidR="00F842B3" w:rsidRDefault="007F444F">
            <w:pPr>
              <w:spacing w:line="230" w:lineRule="auto"/>
            </w:pPr>
            <w:r>
              <w:rPr>
                <w:sz w:val="16"/>
                <w:szCs w:val="16"/>
              </w:rPr>
              <w:t>Total fund</w:t>
            </w:r>
          </w:p>
        </w:tc>
        <w:tc>
          <w:tcPr>
            <w:tcW w:w="1250" w:type="dxa"/>
            <w:shd w:val="clear" w:color="auto" w:fill="F2F5FB"/>
            <w:tcMar>
              <w:top w:w="40" w:type="dxa"/>
              <w:left w:w="70" w:type="dxa"/>
              <w:bottom w:w="40" w:type="dxa"/>
              <w:right w:w="70" w:type="dxa"/>
            </w:tcMar>
          </w:tcPr>
          <w:p w14:paraId="406AE88B" w14:textId="77777777" w:rsidR="00F842B3" w:rsidRDefault="007F444F">
            <w:pPr>
              <w:spacing w:line="230" w:lineRule="auto"/>
            </w:pPr>
            <w:r>
              <w:rPr>
                <w:sz w:val="16"/>
                <w:szCs w:val="16"/>
              </w:rPr>
              <w:t>13,763.6</w:t>
            </w:r>
          </w:p>
        </w:tc>
        <w:tc>
          <w:tcPr>
            <w:tcW w:w="750" w:type="dxa"/>
            <w:shd w:val="clear" w:color="auto" w:fill="F2F5FB"/>
            <w:tcMar>
              <w:top w:w="40" w:type="dxa"/>
              <w:left w:w="70" w:type="dxa"/>
              <w:bottom w:w="40" w:type="dxa"/>
              <w:right w:w="70" w:type="dxa"/>
            </w:tcMar>
          </w:tcPr>
          <w:p w14:paraId="406AE88C" w14:textId="77777777" w:rsidR="00F842B3" w:rsidRDefault="007F444F">
            <w:pPr>
              <w:spacing w:line="230" w:lineRule="auto"/>
            </w:pPr>
            <w:r>
              <w:rPr>
                <w:sz w:val="16"/>
                <w:szCs w:val="16"/>
              </w:rPr>
              <w:t>292.4</w:t>
            </w:r>
          </w:p>
        </w:tc>
        <w:tc>
          <w:tcPr>
            <w:tcW w:w="850" w:type="dxa"/>
            <w:shd w:val="clear" w:color="auto" w:fill="F2F5FB"/>
            <w:tcMar>
              <w:top w:w="40" w:type="dxa"/>
              <w:left w:w="70" w:type="dxa"/>
              <w:bottom w:w="40" w:type="dxa"/>
              <w:right w:w="70" w:type="dxa"/>
            </w:tcMar>
          </w:tcPr>
          <w:p w14:paraId="406AE88D" w14:textId="77777777" w:rsidR="00F842B3" w:rsidRDefault="007F444F">
            <w:pPr>
              <w:spacing w:line="230" w:lineRule="auto"/>
            </w:pPr>
            <w:r>
              <w:rPr>
                <w:sz w:val="16"/>
                <w:szCs w:val="16"/>
              </w:rPr>
              <w:t>(44.7)</w:t>
            </w:r>
          </w:p>
        </w:tc>
        <w:tc>
          <w:tcPr>
            <w:tcW w:w="1050" w:type="dxa"/>
            <w:shd w:val="clear" w:color="auto" w:fill="F2F5FB"/>
            <w:tcMar>
              <w:top w:w="40" w:type="dxa"/>
              <w:left w:w="70" w:type="dxa"/>
              <w:bottom w:w="40" w:type="dxa"/>
              <w:right w:w="70" w:type="dxa"/>
            </w:tcMar>
          </w:tcPr>
          <w:p w14:paraId="406AE88E" w14:textId="77777777" w:rsidR="00F842B3" w:rsidRDefault="007F444F">
            <w:pPr>
              <w:spacing w:line="230" w:lineRule="auto"/>
            </w:pPr>
            <w:r>
              <w:rPr>
                <w:sz w:val="16"/>
                <w:szCs w:val="16"/>
              </w:rPr>
              <w:t>(321.5)</w:t>
            </w:r>
          </w:p>
        </w:tc>
        <w:tc>
          <w:tcPr>
            <w:tcW w:w="1250" w:type="dxa"/>
            <w:shd w:val="clear" w:color="auto" w:fill="F2F5FB"/>
            <w:tcMar>
              <w:top w:w="40" w:type="dxa"/>
              <w:left w:w="70" w:type="dxa"/>
              <w:bottom w:w="40" w:type="dxa"/>
              <w:right w:w="70" w:type="dxa"/>
            </w:tcMar>
          </w:tcPr>
          <w:p w14:paraId="406AE88F" w14:textId="77777777" w:rsidR="00F842B3" w:rsidRDefault="007F444F">
            <w:pPr>
              <w:spacing w:line="230" w:lineRule="auto"/>
            </w:pPr>
            <w:r>
              <w:rPr>
                <w:sz w:val="16"/>
                <w:szCs w:val="16"/>
              </w:rPr>
              <w:t>13,689.5</w:t>
            </w:r>
          </w:p>
        </w:tc>
        <w:tc>
          <w:tcPr>
            <w:tcW w:w="750" w:type="dxa"/>
            <w:shd w:val="clear" w:color="auto" w:fill="F2F5FB"/>
            <w:tcMar>
              <w:top w:w="40" w:type="dxa"/>
              <w:left w:w="70" w:type="dxa"/>
              <w:bottom w:w="40" w:type="dxa"/>
              <w:right w:w="70" w:type="dxa"/>
            </w:tcMar>
          </w:tcPr>
          <w:p w14:paraId="406AE890" w14:textId="77777777" w:rsidR="00F842B3" w:rsidRDefault="007F444F">
            <w:pPr>
              <w:spacing w:line="230" w:lineRule="auto"/>
            </w:pPr>
            <w:r>
              <w:rPr>
                <w:sz w:val="16"/>
                <w:szCs w:val="16"/>
              </w:rPr>
              <w:t>-2.3%</w:t>
            </w:r>
          </w:p>
        </w:tc>
        <w:tc>
          <w:tcPr>
            <w:tcW w:w="2100" w:type="dxa"/>
            <w:shd w:val="clear" w:color="auto" w:fill="F2F5FB"/>
            <w:tcMar>
              <w:top w:w="40" w:type="dxa"/>
              <w:left w:w="70" w:type="dxa"/>
              <w:bottom w:w="40" w:type="dxa"/>
              <w:right w:w="70" w:type="dxa"/>
            </w:tcMar>
          </w:tcPr>
          <w:p w14:paraId="406AE891" w14:textId="77777777" w:rsidR="00F842B3" w:rsidRDefault="007F444F">
            <w:pPr>
              <w:spacing w:line="230" w:lineRule="auto"/>
            </w:pPr>
            <w:r>
              <w:rPr>
                <w:sz w:val="16"/>
                <w:szCs w:val="16"/>
              </w:rPr>
              <w:t>ITD change in value +20.1%</w:t>
            </w:r>
          </w:p>
        </w:tc>
      </w:tr>
    </w:tbl>
    <w:p w14:paraId="406AE893" w14:textId="77777777" w:rsidR="00F842B3" w:rsidRDefault="007F444F">
      <w:pPr>
        <w:spacing w:before="30" w:after="180"/>
      </w:pPr>
      <w:r>
        <w:rPr>
          <w:color w:val="5A6B7B"/>
          <w:sz w:val="14"/>
          <w:szCs w:val="14"/>
        </w:rPr>
        <w:t>Note: Managers with no QoQ change omitted (14 of 20 positions were held flat this quarter). Source: Blue Owl, GP Stakes V 1Q26 letter, 'Quarterly Change in GP Valuation' table, p. 7, and 'GP Valuation Update' commentary, p. 6.</w:t>
      </w:r>
    </w:p>
    <w:p w14:paraId="406AE894" w14:textId="77777777" w:rsidR="00F842B3" w:rsidRDefault="007F444F">
      <w:pPr>
        <w:pStyle w:val="Heading2"/>
        <w:spacing w:before="200" w:after="100"/>
      </w:pPr>
      <w:r>
        <w:t>8.1.3 Fund-level performance</w:t>
      </w:r>
    </w:p>
    <w:p w14:paraId="406AE895" w14:textId="77777777" w:rsidR="00F842B3" w:rsidRDefault="007F444F">
      <w:pPr>
        <w:spacing w:after="140" w:line="264" w:lineRule="auto"/>
        <w:jc w:val="both"/>
      </w:pPr>
      <w:r>
        <w:t xml:space="preserve">Gross metrics softened a notch: portfolio gross TVPI </w:t>
      </w:r>
      <w:r>
        <w:rPr>
          <w:b/>
          <w:bCs/>
        </w:rPr>
        <w:t>1.5x</w:t>
      </w:r>
      <w:r>
        <w:t xml:space="preserve"> (4Q25: 1.6x) on ITD gross distributions of </w:t>
      </w:r>
      <w:r>
        <w:rPr>
          <w:b/>
          <w:bCs/>
        </w:rPr>
        <w:t>US$2,142.1m</w:t>
      </w:r>
      <w:r>
        <w:t xml:space="preserve"> against paid-in cost of </w:t>
      </w:r>
      <w:r>
        <w:rPr>
          <w:b/>
          <w:bCs/>
        </w:rPr>
        <w:t>US$10,705.7m</w:t>
      </w:r>
      <w:r>
        <w:t xml:space="preserve">; gross DPI held at </w:t>
      </w:r>
      <w:r>
        <w:rPr>
          <w:b/>
          <w:bCs/>
        </w:rPr>
        <w:t>0.4x</w:t>
      </w:r>
      <w:r>
        <w:t xml:space="preserve">. Cumulative gross distributions of </w:t>
      </w:r>
      <w:r>
        <w:rPr>
          <w:b/>
          <w:bCs/>
        </w:rPr>
        <w:t>US$3.4bn</w:t>
      </w:r>
      <w:r>
        <w:t xml:space="preserve"> remain heavily engineered — securitization proceeds are the largest component at </w:t>
      </w:r>
      <w:r>
        <w:rPr>
          <w:b/>
          <w:bCs/>
        </w:rPr>
        <w:t>36.2%</w:t>
      </w:r>
      <w:r>
        <w:t xml:space="preserve"> (the 2023 US$1.3bn IG note issuance), ahead of carried interest at </w:t>
      </w:r>
      <w:r>
        <w:rPr>
          <w:b/>
          <w:bCs/>
        </w:rPr>
        <w:t>27.6%</w:t>
      </w:r>
      <w:r>
        <w:t xml:space="preserve"> and management-fee income at </w:t>
      </w:r>
      <w:r>
        <w:rPr>
          <w:b/>
          <w:bCs/>
        </w:rPr>
        <w:t>23.4%</w:t>
      </w:r>
      <w:r>
        <w:t xml:space="preserve"> — while sale proceeds are just </w:t>
      </w:r>
      <w:r>
        <w:rPr>
          <w:b/>
          <w:bCs/>
        </w:rPr>
        <w:t>8.2%</w:t>
      </w:r>
      <w:r>
        <w:t xml:space="preserve">, mirroring the market-wide realization drought in §4. Net blended IRR of </w:t>
      </w:r>
      <w:r>
        <w:rPr>
          <w:b/>
          <w:bCs/>
        </w:rPr>
        <w:t>7.6%</w:t>
      </w:r>
      <w:r>
        <w:t xml:space="preserve"> now sits below the fund's 4Q25 print (10.7%) and only modestly above the rolling one-year US PE IRR of 7.2% (§3.2). Implication for </w:t>
      </w:r>
      <w:proofErr w:type="spellStart"/>
      <w:r>
        <w:t>Junson</w:t>
      </w:r>
      <w:proofErr w:type="spellEnd"/>
      <w:r>
        <w:t>: the mark, not the model, drove this quarter — CVC's listed-price drawdown is transparent and partly self-correcting, but MBK warrants monitoring as a fundamentals markdown; and with 64% called, ~US$5.3bn of credit facility outstanding and DPI parked at 0.4x, the fund's next leg of net return depends on realization mechanics (tag-alongs, securitization, GP distributions) that the Lead Edge transaction shows are executable at or above marks.</w:t>
      </w:r>
    </w:p>
    <w:p w14:paraId="406AE896" w14:textId="77777777" w:rsidR="00F842B3" w:rsidRDefault="007F444F">
      <w:pPr>
        <w:keepNext/>
        <w:spacing w:before="60" w:after="30"/>
      </w:pPr>
      <w:r>
        <w:rPr>
          <w:b/>
          <w:bCs/>
          <w:color w:val="16283F"/>
        </w:rPr>
        <w:t>Exhibit 39: Key performance and capital metrics, QoQ</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900"/>
        <w:gridCol w:w="1500"/>
      </w:tblGrid>
      <w:tr w:rsidR="00F842B3" w14:paraId="406AE89B" w14:textId="77777777">
        <w:trPr>
          <w:tblHeader/>
        </w:trPr>
        <w:tc>
          <w:tcPr>
            <w:tcW w:w="3300" w:type="dxa"/>
            <w:shd w:val="clear" w:color="auto" w:fill="1F3B5B"/>
            <w:tcMar>
              <w:top w:w="40" w:type="dxa"/>
              <w:left w:w="70" w:type="dxa"/>
              <w:bottom w:w="40" w:type="dxa"/>
              <w:right w:w="70" w:type="dxa"/>
            </w:tcMar>
          </w:tcPr>
          <w:p w14:paraId="406AE897" w14:textId="77777777" w:rsidR="00F842B3" w:rsidRDefault="007F444F">
            <w:pPr>
              <w:spacing w:line="230" w:lineRule="auto"/>
            </w:pPr>
            <w:r>
              <w:rPr>
                <w:b/>
                <w:bCs/>
                <w:color w:val="FFFFFF"/>
                <w:sz w:val="16"/>
                <w:szCs w:val="16"/>
              </w:rPr>
              <w:t>Metric</w:t>
            </w:r>
          </w:p>
        </w:tc>
        <w:tc>
          <w:tcPr>
            <w:tcW w:w="1900" w:type="dxa"/>
            <w:shd w:val="clear" w:color="auto" w:fill="1F3B5B"/>
            <w:tcMar>
              <w:top w:w="40" w:type="dxa"/>
              <w:left w:w="70" w:type="dxa"/>
              <w:bottom w:w="40" w:type="dxa"/>
              <w:right w:w="70" w:type="dxa"/>
            </w:tcMar>
          </w:tcPr>
          <w:p w14:paraId="406AE898" w14:textId="77777777" w:rsidR="00F842B3" w:rsidRDefault="007F444F">
            <w:pPr>
              <w:spacing w:line="230" w:lineRule="auto"/>
            </w:pPr>
            <w:r>
              <w:rPr>
                <w:b/>
                <w:bCs/>
                <w:color w:val="FFFFFF"/>
                <w:sz w:val="16"/>
                <w:szCs w:val="16"/>
              </w:rPr>
              <w:t>4Q 2025</w:t>
            </w:r>
          </w:p>
        </w:tc>
        <w:tc>
          <w:tcPr>
            <w:tcW w:w="1900" w:type="dxa"/>
            <w:shd w:val="clear" w:color="auto" w:fill="1F3B5B"/>
            <w:tcMar>
              <w:top w:w="40" w:type="dxa"/>
              <w:left w:w="70" w:type="dxa"/>
              <w:bottom w:w="40" w:type="dxa"/>
              <w:right w:w="70" w:type="dxa"/>
            </w:tcMar>
          </w:tcPr>
          <w:p w14:paraId="406AE899" w14:textId="77777777" w:rsidR="00F842B3" w:rsidRDefault="007F444F">
            <w:pPr>
              <w:spacing w:line="230" w:lineRule="auto"/>
            </w:pPr>
            <w:r>
              <w:rPr>
                <w:b/>
                <w:bCs/>
                <w:color w:val="FFFFFF"/>
                <w:sz w:val="16"/>
                <w:szCs w:val="16"/>
              </w:rPr>
              <w:t>1Q 2026</w:t>
            </w:r>
          </w:p>
        </w:tc>
        <w:tc>
          <w:tcPr>
            <w:tcW w:w="1500" w:type="dxa"/>
            <w:shd w:val="clear" w:color="auto" w:fill="1F3B5B"/>
            <w:tcMar>
              <w:top w:w="40" w:type="dxa"/>
              <w:left w:w="70" w:type="dxa"/>
              <w:bottom w:w="40" w:type="dxa"/>
              <w:right w:w="70" w:type="dxa"/>
            </w:tcMar>
          </w:tcPr>
          <w:p w14:paraId="406AE89A" w14:textId="77777777" w:rsidR="00F842B3" w:rsidRDefault="007F444F">
            <w:pPr>
              <w:spacing w:line="230" w:lineRule="auto"/>
            </w:pPr>
            <w:r>
              <w:rPr>
                <w:b/>
                <w:bCs/>
                <w:color w:val="FFFFFF"/>
                <w:sz w:val="16"/>
                <w:szCs w:val="16"/>
              </w:rPr>
              <w:t>Δ</w:t>
            </w:r>
          </w:p>
        </w:tc>
      </w:tr>
      <w:tr w:rsidR="00F842B3" w14:paraId="406AE8A0" w14:textId="77777777">
        <w:tc>
          <w:tcPr>
            <w:tcW w:w="3300" w:type="dxa"/>
            <w:shd w:val="clear" w:color="auto" w:fill="FFFFFF"/>
            <w:tcMar>
              <w:top w:w="40" w:type="dxa"/>
              <w:left w:w="70" w:type="dxa"/>
              <w:bottom w:w="40" w:type="dxa"/>
              <w:right w:w="70" w:type="dxa"/>
            </w:tcMar>
          </w:tcPr>
          <w:p w14:paraId="406AE89C" w14:textId="77777777" w:rsidR="00F842B3" w:rsidRDefault="007F444F">
            <w:pPr>
              <w:spacing w:line="230" w:lineRule="auto"/>
            </w:pPr>
            <w:r>
              <w:rPr>
                <w:sz w:val="16"/>
                <w:szCs w:val="16"/>
              </w:rPr>
              <w:t>GP portfolio value change (QoQ)</w:t>
            </w:r>
          </w:p>
        </w:tc>
        <w:tc>
          <w:tcPr>
            <w:tcW w:w="1900" w:type="dxa"/>
            <w:shd w:val="clear" w:color="auto" w:fill="FFFFFF"/>
            <w:tcMar>
              <w:top w:w="40" w:type="dxa"/>
              <w:left w:w="70" w:type="dxa"/>
              <w:bottom w:w="40" w:type="dxa"/>
              <w:right w:w="70" w:type="dxa"/>
            </w:tcMar>
          </w:tcPr>
          <w:p w14:paraId="406AE89D" w14:textId="77777777" w:rsidR="00F842B3" w:rsidRDefault="007F444F">
            <w:pPr>
              <w:spacing w:line="230" w:lineRule="auto"/>
            </w:pPr>
            <w:r>
              <w:rPr>
                <w:sz w:val="16"/>
                <w:szCs w:val="16"/>
              </w:rPr>
              <w:t>+1.8%</w:t>
            </w:r>
          </w:p>
        </w:tc>
        <w:tc>
          <w:tcPr>
            <w:tcW w:w="1900" w:type="dxa"/>
            <w:shd w:val="clear" w:color="auto" w:fill="FFFFFF"/>
            <w:tcMar>
              <w:top w:w="40" w:type="dxa"/>
              <w:left w:w="70" w:type="dxa"/>
              <w:bottom w:w="40" w:type="dxa"/>
              <w:right w:w="70" w:type="dxa"/>
            </w:tcMar>
          </w:tcPr>
          <w:p w14:paraId="406AE89E" w14:textId="77777777" w:rsidR="00F842B3" w:rsidRDefault="007F444F">
            <w:pPr>
              <w:spacing w:line="230" w:lineRule="auto"/>
            </w:pPr>
            <w:r>
              <w:rPr>
                <w:sz w:val="16"/>
                <w:szCs w:val="16"/>
              </w:rPr>
              <w:t>-2.3%</w:t>
            </w:r>
          </w:p>
        </w:tc>
        <w:tc>
          <w:tcPr>
            <w:tcW w:w="1500" w:type="dxa"/>
            <w:shd w:val="clear" w:color="auto" w:fill="FFFFFF"/>
            <w:tcMar>
              <w:top w:w="40" w:type="dxa"/>
              <w:left w:w="70" w:type="dxa"/>
              <w:bottom w:w="40" w:type="dxa"/>
              <w:right w:w="70" w:type="dxa"/>
            </w:tcMar>
          </w:tcPr>
          <w:p w14:paraId="406AE89F" w14:textId="77777777" w:rsidR="00F842B3" w:rsidRDefault="007F444F">
            <w:pPr>
              <w:spacing w:line="230" w:lineRule="auto"/>
            </w:pPr>
            <w:r>
              <w:rPr>
                <w:sz w:val="16"/>
                <w:szCs w:val="16"/>
              </w:rPr>
              <w:t>-4.1pp</w:t>
            </w:r>
          </w:p>
        </w:tc>
      </w:tr>
      <w:tr w:rsidR="00F842B3" w14:paraId="406AE8A5" w14:textId="77777777">
        <w:tc>
          <w:tcPr>
            <w:tcW w:w="3300" w:type="dxa"/>
            <w:shd w:val="clear" w:color="auto" w:fill="F2F5FB"/>
            <w:tcMar>
              <w:top w:w="40" w:type="dxa"/>
              <w:left w:w="70" w:type="dxa"/>
              <w:bottom w:w="40" w:type="dxa"/>
              <w:right w:w="70" w:type="dxa"/>
            </w:tcMar>
          </w:tcPr>
          <w:p w14:paraId="406AE8A1" w14:textId="77777777" w:rsidR="00F842B3" w:rsidRDefault="007F444F">
            <w:pPr>
              <w:spacing w:line="230" w:lineRule="auto"/>
            </w:pPr>
            <w:r>
              <w:rPr>
                <w:sz w:val="16"/>
                <w:szCs w:val="16"/>
              </w:rPr>
              <w:t>GP holding value (</w:t>
            </w:r>
            <w:proofErr w:type="spellStart"/>
            <w:r>
              <w:rPr>
                <w:sz w:val="16"/>
                <w:szCs w:val="16"/>
              </w:rPr>
              <w:t>US$m</w:t>
            </w:r>
            <w:proofErr w:type="spellEnd"/>
            <w:r>
              <w:rPr>
                <w:sz w:val="16"/>
                <w:szCs w:val="16"/>
              </w:rPr>
              <w:t>)</w:t>
            </w:r>
          </w:p>
        </w:tc>
        <w:tc>
          <w:tcPr>
            <w:tcW w:w="1900" w:type="dxa"/>
            <w:shd w:val="clear" w:color="auto" w:fill="F2F5FB"/>
            <w:tcMar>
              <w:top w:w="40" w:type="dxa"/>
              <w:left w:w="70" w:type="dxa"/>
              <w:bottom w:w="40" w:type="dxa"/>
              <w:right w:w="70" w:type="dxa"/>
            </w:tcMar>
          </w:tcPr>
          <w:p w14:paraId="406AE8A2" w14:textId="77777777" w:rsidR="00F842B3" w:rsidRDefault="007F444F">
            <w:pPr>
              <w:spacing w:line="230" w:lineRule="auto"/>
            </w:pPr>
            <w:r>
              <w:rPr>
                <w:sz w:val="16"/>
                <w:szCs w:val="16"/>
              </w:rPr>
              <w:t>13,763.6</w:t>
            </w:r>
          </w:p>
        </w:tc>
        <w:tc>
          <w:tcPr>
            <w:tcW w:w="1900" w:type="dxa"/>
            <w:shd w:val="clear" w:color="auto" w:fill="F2F5FB"/>
            <w:tcMar>
              <w:top w:w="40" w:type="dxa"/>
              <w:left w:w="70" w:type="dxa"/>
              <w:bottom w:w="40" w:type="dxa"/>
              <w:right w:w="70" w:type="dxa"/>
            </w:tcMar>
          </w:tcPr>
          <w:p w14:paraId="406AE8A3" w14:textId="77777777" w:rsidR="00F842B3" w:rsidRDefault="007F444F">
            <w:pPr>
              <w:spacing w:line="230" w:lineRule="auto"/>
            </w:pPr>
            <w:r>
              <w:rPr>
                <w:sz w:val="16"/>
                <w:szCs w:val="16"/>
              </w:rPr>
              <w:t>13,689.5</w:t>
            </w:r>
          </w:p>
        </w:tc>
        <w:tc>
          <w:tcPr>
            <w:tcW w:w="1500" w:type="dxa"/>
            <w:shd w:val="clear" w:color="auto" w:fill="F2F5FB"/>
            <w:tcMar>
              <w:top w:w="40" w:type="dxa"/>
              <w:left w:w="70" w:type="dxa"/>
              <w:bottom w:w="40" w:type="dxa"/>
              <w:right w:w="70" w:type="dxa"/>
            </w:tcMar>
          </w:tcPr>
          <w:p w14:paraId="406AE8A4" w14:textId="77777777" w:rsidR="00F842B3" w:rsidRDefault="007F444F">
            <w:pPr>
              <w:spacing w:line="230" w:lineRule="auto"/>
            </w:pPr>
            <w:r>
              <w:rPr>
                <w:sz w:val="16"/>
                <w:szCs w:val="16"/>
              </w:rPr>
              <w:t>-0.5%</w:t>
            </w:r>
          </w:p>
        </w:tc>
      </w:tr>
      <w:tr w:rsidR="00F842B3" w14:paraId="406AE8AA" w14:textId="77777777">
        <w:tc>
          <w:tcPr>
            <w:tcW w:w="3300" w:type="dxa"/>
            <w:shd w:val="clear" w:color="auto" w:fill="FFFFFF"/>
            <w:tcMar>
              <w:top w:w="40" w:type="dxa"/>
              <w:left w:w="70" w:type="dxa"/>
              <w:bottom w:w="40" w:type="dxa"/>
              <w:right w:w="70" w:type="dxa"/>
            </w:tcMar>
          </w:tcPr>
          <w:p w14:paraId="406AE8A6" w14:textId="77777777" w:rsidR="00F842B3" w:rsidRDefault="007F444F">
            <w:pPr>
              <w:spacing w:line="230" w:lineRule="auto"/>
            </w:pPr>
            <w:r>
              <w:rPr>
                <w:sz w:val="16"/>
                <w:szCs w:val="16"/>
              </w:rPr>
              <w:t>Portfolio gross TVPI / DPI</w:t>
            </w:r>
          </w:p>
        </w:tc>
        <w:tc>
          <w:tcPr>
            <w:tcW w:w="1900" w:type="dxa"/>
            <w:shd w:val="clear" w:color="auto" w:fill="FFFFFF"/>
            <w:tcMar>
              <w:top w:w="40" w:type="dxa"/>
              <w:left w:w="70" w:type="dxa"/>
              <w:bottom w:w="40" w:type="dxa"/>
              <w:right w:w="70" w:type="dxa"/>
            </w:tcMar>
          </w:tcPr>
          <w:p w14:paraId="406AE8A7" w14:textId="77777777" w:rsidR="00F842B3" w:rsidRDefault="007F444F">
            <w:pPr>
              <w:spacing w:line="230" w:lineRule="auto"/>
            </w:pPr>
            <w:r>
              <w:rPr>
                <w:sz w:val="16"/>
                <w:szCs w:val="16"/>
              </w:rPr>
              <w:t>1.6x / 0.4x</w:t>
            </w:r>
          </w:p>
        </w:tc>
        <w:tc>
          <w:tcPr>
            <w:tcW w:w="1900" w:type="dxa"/>
            <w:shd w:val="clear" w:color="auto" w:fill="FFFFFF"/>
            <w:tcMar>
              <w:top w:w="40" w:type="dxa"/>
              <w:left w:w="70" w:type="dxa"/>
              <w:bottom w:w="40" w:type="dxa"/>
              <w:right w:w="70" w:type="dxa"/>
            </w:tcMar>
          </w:tcPr>
          <w:p w14:paraId="406AE8A8" w14:textId="77777777" w:rsidR="00F842B3" w:rsidRDefault="007F444F">
            <w:pPr>
              <w:spacing w:line="230" w:lineRule="auto"/>
            </w:pPr>
            <w:r>
              <w:rPr>
                <w:sz w:val="16"/>
                <w:szCs w:val="16"/>
              </w:rPr>
              <w:t>1.5x / 0.4x</w:t>
            </w:r>
          </w:p>
        </w:tc>
        <w:tc>
          <w:tcPr>
            <w:tcW w:w="1500" w:type="dxa"/>
            <w:shd w:val="clear" w:color="auto" w:fill="FFFFFF"/>
            <w:tcMar>
              <w:top w:w="40" w:type="dxa"/>
              <w:left w:w="70" w:type="dxa"/>
              <w:bottom w:w="40" w:type="dxa"/>
              <w:right w:w="70" w:type="dxa"/>
            </w:tcMar>
          </w:tcPr>
          <w:p w14:paraId="406AE8A9" w14:textId="77777777" w:rsidR="00F842B3" w:rsidRDefault="007F444F">
            <w:pPr>
              <w:spacing w:line="230" w:lineRule="auto"/>
            </w:pPr>
            <w:r>
              <w:rPr>
                <w:sz w:val="16"/>
                <w:szCs w:val="16"/>
              </w:rPr>
              <w:t>-0.1x / —</w:t>
            </w:r>
          </w:p>
        </w:tc>
      </w:tr>
      <w:tr w:rsidR="00F842B3" w14:paraId="406AE8AF" w14:textId="77777777">
        <w:tc>
          <w:tcPr>
            <w:tcW w:w="3300" w:type="dxa"/>
            <w:shd w:val="clear" w:color="auto" w:fill="F2F5FB"/>
            <w:tcMar>
              <w:top w:w="40" w:type="dxa"/>
              <w:left w:w="70" w:type="dxa"/>
              <w:bottom w:w="40" w:type="dxa"/>
              <w:right w:w="70" w:type="dxa"/>
            </w:tcMar>
          </w:tcPr>
          <w:p w14:paraId="406AE8AB" w14:textId="77777777" w:rsidR="00F842B3" w:rsidRDefault="007F444F">
            <w:pPr>
              <w:spacing w:line="230" w:lineRule="auto"/>
            </w:pPr>
            <w:r>
              <w:rPr>
                <w:sz w:val="16"/>
                <w:szCs w:val="16"/>
              </w:rPr>
              <w:t>ITD gross distributions, portfolio (</w:t>
            </w:r>
            <w:proofErr w:type="spellStart"/>
            <w:r>
              <w:rPr>
                <w:sz w:val="16"/>
                <w:szCs w:val="16"/>
              </w:rPr>
              <w:t>US$m</w:t>
            </w:r>
            <w:proofErr w:type="spellEnd"/>
            <w:r>
              <w:rPr>
                <w:sz w:val="16"/>
                <w:szCs w:val="16"/>
              </w:rPr>
              <w:t>)</w:t>
            </w:r>
          </w:p>
        </w:tc>
        <w:tc>
          <w:tcPr>
            <w:tcW w:w="1900" w:type="dxa"/>
            <w:shd w:val="clear" w:color="auto" w:fill="F2F5FB"/>
            <w:tcMar>
              <w:top w:w="40" w:type="dxa"/>
              <w:left w:w="70" w:type="dxa"/>
              <w:bottom w:w="40" w:type="dxa"/>
              <w:right w:w="70" w:type="dxa"/>
            </w:tcMar>
          </w:tcPr>
          <w:p w14:paraId="406AE8AC" w14:textId="77777777" w:rsidR="00F842B3" w:rsidRDefault="007F444F">
            <w:pPr>
              <w:spacing w:line="230" w:lineRule="auto"/>
            </w:pPr>
            <w:r>
              <w:rPr>
                <w:sz w:val="16"/>
                <w:szCs w:val="16"/>
              </w:rPr>
              <w:t>2,011.7</w:t>
            </w:r>
          </w:p>
        </w:tc>
        <w:tc>
          <w:tcPr>
            <w:tcW w:w="1900" w:type="dxa"/>
            <w:shd w:val="clear" w:color="auto" w:fill="F2F5FB"/>
            <w:tcMar>
              <w:top w:w="40" w:type="dxa"/>
              <w:left w:w="70" w:type="dxa"/>
              <w:bottom w:w="40" w:type="dxa"/>
              <w:right w:w="70" w:type="dxa"/>
            </w:tcMar>
          </w:tcPr>
          <w:p w14:paraId="406AE8AD" w14:textId="77777777" w:rsidR="00F842B3" w:rsidRDefault="007F444F">
            <w:pPr>
              <w:spacing w:line="230" w:lineRule="auto"/>
            </w:pPr>
            <w:r>
              <w:rPr>
                <w:sz w:val="16"/>
                <w:szCs w:val="16"/>
              </w:rPr>
              <w:t>2,142.1</w:t>
            </w:r>
          </w:p>
        </w:tc>
        <w:tc>
          <w:tcPr>
            <w:tcW w:w="1500" w:type="dxa"/>
            <w:shd w:val="clear" w:color="auto" w:fill="F2F5FB"/>
            <w:tcMar>
              <w:top w:w="40" w:type="dxa"/>
              <w:left w:w="70" w:type="dxa"/>
              <w:bottom w:w="40" w:type="dxa"/>
              <w:right w:w="70" w:type="dxa"/>
            </w:tcMar>
          </w:tcPr>
          <w:p w14:paraId="406AE8AE" w14:textId="77777777" w:rsidR="00F842B3" w:rsidRDefault="007F444F">
            <w:pPr>
              <w:spacing w:line="230" w:lineRule="auto"/>
            </w:pPr>
            <w:r>
              <w:rPr>
                <w:sz w:val="16"/>
                <w:szCs w:val="16"/>
              </w:rPr>
              <w:t>+130.4</w:t>
            </w:r>
          </w:p>
        </w:tc>
      </w:tr>
      <w:tr w:rsidR="00F842B3" w14:paraId="406AE8B4" w14:textId="77777777">
        <w:tc>
          <w:tcPr>
            <w:tcW w:w="3300" w:type="dxa"/>
            <w:shd w:val="clear" w:color="auto" w:fill="FFFFFF"/>
            <w:tcMar>
              <w:top w:w="40" w:type="dxa"/>
              <w:left w:w="70" w:type="dxa"/>
              <w:bottom w:w="40" w:type="dxa"/>
              <w:right w:w="70" w:type="dxa"/>
            </w:tcMar>
          </w:tcPr>
          <w:p w14:paraId="406AE8B0" w14:textId="77777777" w:rsidR="00F842B3" w:rsidRDefault="007F444F">
            <w:pPr>
              <w:spacing w:line="230" w:lineRule="auto"/>
            </w:pPr>
            <w:r>
              <w:rPr>
                <w:sz w:val="16"/>
                <w:szCs w:val="16"/>
              </w:rPr>
              <w:t>Cumulative gross distributions, fund (</w:t>
            </w:r>
            <w:proofErr w:type="spellStart"/>
            <w:r>
              <w:rPr>
                <w:sz w:val="16"/>
                <w:szCs w:val="16"/>
              </w:rPr>
              <w:t>US$bn</w:t>
            </w:r>
            <w:proofErr w:type="spellEnd"/>
            <w:r>
              <w:rPr>
                <w:sz w:val="16"/>
                <w:szCs w:val="16"/>
              </w:rPr>
              <w:t>)</w:t>
            </w:r>
          </w:p>
        </w:tc>
        <w:tc>
          <w:tcPr>
            <w:tcW w:w="1900" w:type="dxa"/>
            <w:shd w:val="clear" w:color="auto" w:fill="FFFFFF"/>
            <w:tcMar>
              <w:top w:w="40" w:type="dxa"/>
              <w:left w:w="70" w:type="dxa"/>
              <w:bottom w:w="40" w:type="dxa"/>
              <w:right w:w="70" w:type="dxa"/>
            </w:tcMar>
          </w:tcPr>
          <w:p w14:paraId="406AE8B1" w14:textId="77777777" w:rsidR="00F842B3" w:rsidRDefault="007F444F">
            <w:pPr>
              <w:spacing w:line="230" w:lineRule="auto"/>
            </w:pPr>
            <w:r>
              <w:rPr>
                <w:sz w:val="16"/>
                <w:szCs w:val="16"/>
              </w:rPr>
              <w:t>3.3</w:t>
            </w:r>
          </w:p>
        </w:tc>
        <w:tc>
          <w:tcPr>
            <w:tcW w:w="1900" w:type="dxa"/>
            <w:shd w:val="clear" w:color="auto" w:fill="FFFFFF"/>
            <w:tcMar>
              <w:top w:w="40" w:type="dxa"/>
              <w:left w:w="70" w:type="dxa"/>
              <w:bottom w:w="40" w:type="dxa"/>
              <w:right w:w="70" w:type="dxa"/>
            </w:tcMar>
          </w:tcPr>
          <w:p w14:paraId="406AE8B2" w14:textId="77777777" w:rsidR="00F842B3" w:rsidRDefault="007F444F">
            <w:pPr>
              <w:spacing w:line="230" w:lineRule="auto"/>
            </w:pPr>
            <w:r>
              <w:rPr>
                <w:sz w:val="16"/>
                <w:szCs w:val="16"/>
              </w:rPr>
              <w:t>3.4</w:t>
            </w:r>
          </w:p>
        </w:tc>
        <w:tc>
          <w:tcPr>
            <w:tcW w:w="1500" w:type="dxa"/>
            <w:shd w:val="clear" w:color="auto" w:fill="FFFFFF"/>
            <w:tcMar>
              <w:top w:w="40" w:type="dxa"/>
              <w:left w:w="70" w:type="dxa"/>
              <w:bottom w:w="40" w:type="dxa"/>
              <w:right w:w="70" w:type="dxa"/>
            </w:tcMar>
          </w:tcPr>
          <w:p w14:paraId="406AE8B3" w14:textId="77777777" w:rsidR="00F842B3" w:rsidRDefault="007F444F">
            <w:pPr>
              <w:spacing w:line="230" w:lineRule="auto"/>
            </w:pPr>
            <w:r>
              <w:rPr>
                <w:sz w:val="16"/>
                <w:szCs w:val="16"/>
              </w:rPr>
              <w:t>+0.1</w:t>
            </w:r>
          </w:p>
        </w:tc>
      </w:tr>
      <w:tr w:rsidR="00F842B3" w14:paraId="406AE8B9" w14:textId="77777777">
        <w:tc>
          <w:tcPr>
            <w:tcW w:w="3300" w:type="dxa"/>
            <w:shd w:val="clear" w:color="auto" w:fill="F2F5FB"/>
            <w:tcMar>
              <w:top w:w="40" w:type="dxa"/>
              <w:left w:w="70" w:type="dxa"/>
              <w:bottom w:w="40" w:type="dxa"/>
              <w:right w:w="70" w:type="dxa"/>
            </w:tcMar>
          </w:tcPr>
          <w:p w14:paraId="406AE8B5" w14:textId="77777777" w:rsidR="00F842B3" w:rsidRDefault="007F444F">
            <w:pPr>
              <w:spacing w:line="230" w:lineRule="auto"/>
            </w:pPr>
            <w:r>
              <w:rPr>
                <w:sz w:val="16"/>
                <w:szCs w:val="16"/>
              </w:rPr>
              <w:t>LP net blended TVPI / DPI</w:t>
            </w:r>
          </w:p>
        </w:tc>
        <w:tc>
          <w:tcPr>
            <w:tcW w:w="1900" w:type="dxa"/>
            <w:shd w:val="clear" w:color="auto" w:fill="F2F5FB"/>
            <w:tcMar>
              <w:top w:w="40" w:type="dxa"/>
              <w:left w:w="70" w:type="dxa"/>
              <w:bottom w:w="40" w:type="dxa"/>
              <w:right w:w="70" w:type="dxa"/>
            </w:tcMar>
          </w:tcPr>
          <w:p w14:paraId="406AE8B6" w14:textId="77777777" w:rsidR="00F842B3" w:rsidRDefault="007F444F">
            <w:pPr>
              <w:spacing w:line="230" w:lineRule="auto"/>
            </w:pPr>
            <w:r>
              <w:rPr>
                <w:sz w:val="16"/>
                <w:szCs w:val="16"/>
              </w:rPr>
              <w:t>1.2x / 0.4x</w:t>
            </w:r>
          </w:p>
        </w:tc>
        <w:tc>
          <w:tcPr>
            <w:tcW w:w="1900" w:type="dxa"/>
            <w:shd w:val="clear" w:color="auto" w:fill="F2F5FB"/>
            <w:tcMar>
              <w:top w:w="40" w:type="dxa"/>
              <w:left w:w="70" w:type="dxa"/>
              <w:bottom w:w="40" w:type="dxa"/>
              <w:right w:w="70" w:type="dxa"/>
            </w:tcMar>
          </w:tcPr>
          <w:p w14:paraId="406AE8B7" w14:textId="77777777" w:rsidR="00F842B3" w:rsidRDefault="007F444F">
            <w:pPr>
              <w:spacing w:line="230" w:lineRule="auto"/>
            </w:pPr>
            <w:r>
              <w:rPr>
                <w:sz w:val="16"/>
                <w:szCs w:val="16"/>
              </w:rPr>
              <w:t>1.1x / 0.4x</w:t>
            </w:r>
          </w:p>
        </w:tc>
        <w:tc>
          <w:tcPr>
            <w:tcW w:w="1500" w:type="dxa"/>
            <w:shd w:val="clear" w:color="auto" w:fill="F2F5FB"/>
            <w:tcMar>
              <w:top w:w="40" w:type="dxa"/>
              <w:left w:w="70" w:type="dxa"/>
              <w:bottom w:w="40" w:type="dxa"/>
              <w:right w:w="70" w:type="dxa"/>
            </w:tcMar>
          </w:tcPr>
          <w:p w14:paraId="406AE8B8" w14:textId="77777777" w:rsidR="00F842B3" w:rsidRDefault="007F444F">
            <w:pPr>
              <w:spacing w:line="230" w:lineRule="auto"/>
            </w:pPr>
            <w:r>
              <w:rPr>
                <w:sz w:val="16"/>
                <w:szCs w:val="16"/>
              </w:rPr>
              <w:t>-0.1x / —</w:t>
            </w:r>
          </w:p>
        </w:tc>
      </w:tr>
      <w:tr w:rsidR="00F842B3" w14:paraId="406AE8BE" w14:textId="77777777">
        <w:tc>
          <w:tcPr>
            <w:tcW w:w="3300" w:type="dxa"/>
            <w:shd w:val="clear" w:color="auto" w:fill="FFFFFF"/>
            <w:tcMar>
              <w:top w:w="40" w:type="dxa"/>
              <w:left w:w="70" w:type="dxa"/>
              <w:bottom w:w="40" w:type="dxa"/>
              <w:right w:w="70" w:type="dxa"/>
            </w:tcMar>
          </w:tcPr>
          <w:p w14:paraId="406AE8BA" w14:textId="77777777" w:rsidR="00F842B3" w:rsidRDefault="007F444F">
            <w:pPr>
              <w:spacing w:line="230" w:lineRule="auto"/>
            </w:pPr>
            <w:r>
              <w:rPr>
                <w:sz w:val="16"/>
                <w:szCs w:val="16"/>
              </w:rPr>
              <w:t>LP net blended IRR</w:t>
            </w:r>
          </w:p>
        </w:tc>
        <w:tc>
          <w:tcPr>
            <w:tcW w:w="1900" w:type="dxa"/>
            <w:shd w:val="clear" w:color="auto" w:fill="FFFFFF"/>
            <w:tcMar>
              <w:top w:w="40" w:type="dxa"/>
              <w:left w:w="70" w:type="dxa"/>
              <w:bottom w:w="40" w:type="dxa"/>
              <w:right w:w="70" w:type="dxa"/>
            </w:tcMar>
          </w:tcPr>
          <w:p w14:paraId="406AE8BB" w14:textId="77777777" w:rsidR="00F842B3" w:rsidRDefault="007F444F">
            <w:pPr>
              <w:spacing w:line="230" w:lineRule="auto"/>
            </w:pPr>
            <w:r>
              <w:rPr>
                <w:sz w:val="16"/>
                <w:szCs w:val="16"/>
              </w:rPr>
              <w:t>10.7%</w:t>
            </w:r>
          </w:p>
        </w:tc>
        <w:tc>
          <w:tcPr>
            <w:tcW w:w="1900" w:type="dxa"/>
            <w:shd w:val="clear" w:color="auto" w:fill="FFFFFF"/>
            <w:tcMar>
              <w:top w:w="40" w:type="dxa"/>
              <w:left w:w="70" w:type="dxa"/>
              <w:bottom w:w="40" w:type="dxa"/>
              <w:right w:w="70" w:type="dxa"/>
            </w:tcMar>
          </w:tcPr>
          <w:p w14:paraId="406AE8BC" w14:textId="77777777" w:rsidR="00F842B3" w:rsidRDefault="007F444F">
            <w:pPr>
              <w:spacing w:line="230" w:lineRule="auto"/>
            </w:pPr>
            <w:r>
              <w:rPr>
                <w:sz w:val="16"/>
                <w:szCs w:val="16"/>
              </w:rPr>
              <w:t>7.6%</w:t>
            </w:r>
          </w:p>
        </w:tc>
        <w:tc>
          <w:tcPr>
            <w:tcW w:w="1500" w:type="dxa"/>
            <w:shd w:val="clear" w:color="auto" w:fill="FFFFFF"/>
            <w:tcMar>
              <w:top w:w="40" w:type="dxa"/>
              <w:left w:w="70" w:type="dxa"/>
              <w:bottom w:w="40" w:type="dxa"/>
              <w:right w:w="70" w:type="dxa"/>
            </w:tcMar>
          </w:tcPr>
          <w:p w14:paraId="406AE8BD" w14:textId="77777777" w:rsidR="00F842B3" w:rsidRDefault="007F444F">
            <w:pPr>
              <w:spacing w:line="230" w:lineRule="auto"/>
            </w:pPr>
            <w:r>
              <w:rPr>
                <w:sz w:val="16"/>
                <w:szCs w:val="16"/>
              </w:rPr>
              <w:t>-3.1pp</w:t>
            </w:r>
          </w:p>
        </w:tc>
      </w:tr>
      <w:tr w:rsidR="00F842B3" w14:paraId="406AE8C3" w14:textId="77777777">
        <w:tc>
          <w:tcPr>
            <w:tcW w:w="3300" w:type="dxa"/>
            <w:shd w:val="clear" w:color="auto" w:fill="F2F5FB"/>
            <w:tcMar>
              <w:top w:w="40" w:type="dxa"/>
              <w:left w:w="70" w:type="dxa"/>
              <w:bottom w:w="40" w:type="dxa"/>
              <w:right w:w="70" w:type="dxa"/>
            </w:tcMar>
          </w:tcPr>
          <w:p w14:paraId="406AE8BF" w14:textId="77777777" w:rsidR="00F842B3" w:rsidRDefault="007F444F">
            <w:pPr>
              <w:spacing w:line="230" w:lineRule="auto"/>
            </w:pPr>
            <w:r>
              <w:rPr>
                <w:sz w:val="16"/>
                <w:szCs w:val="16"/>
              </w:rPr>
              <w:t>Called capital / % called</w:t>
            </w:r>
          </w:p>
        </w:tc>
        <w:tc>
          <w:tcPr>
            <w:tcW w:w="1900" w:type="dxa"/>
            <w:shd w:val="clear" w:color="auto" w:fill="F2F5FB"/>
            <w:tcMar>
              <w:top w:w="40" w:type="dxa"/>
              <w:left w:w="70" w:type="dxa"/>
              <w:bottom w:w="40" w:type="dxa"/>
              <w:right w:w="70" w:type="dxa"/>
            </w:tcMar>
          </w:tcPr>
          <w:p w14:paraId="406AE8C0" w14:textId="77777777" w:rsidR="00F842B3" w:rsidRDefault="007F444F">
            <w:pPr>
              <w:spacing w:line="230" w:lineRule="auto"/>
            </w:pPr>
            <w:r>
              <w:rPr>
                <w:sz w:val="16"/>
                <w:szCs w:val="16"/>
              </w:rPr>
              <w:t>US$8.2bn / 64%</w:t>
            </w:r>
          </w:p>
        </w:tc>
        <w:tc>
          <w:tcPr>
            <w:tcW w:w="1900" w:type="dxa"/>
            <w:shd w:val="clear" w:color="auto" w:fill="F2F5FB"/>
            <w:tcMar>
              <w:top w:w="40" w:type="dxa"/>
              <w:left w:w="70" w:type="dxa"/>
              <w:bottom w:w="40" w:type="dxa"/>
              <w:right w:w="70" w:type="dxa"/>
            </w:tcMar>
          </w:tcPr>
          <w:p w14:paraId="406AE8C1" w14:textId="77777777" w:rsidR="00F842B3" w:rsidRDefault="007F444F">
            <w:pPr>
              <w:spacing w:line="230" w:lineRule="auto"/>
            </w:pPr>
            <w:r>
              <w:rPr>
                <w:sz w:val="16"/>
                <w:szCs w:val="16"/>
              </w:rPr>
              <w:t>US$8.2bn / 64%</w:t>
            </w:r>
          </w:p>
        </w:tc>
        <w:tc>
          <w:tcPr>
            <w:tcW w:w="1500" w:type="dxa"/>
            <w:shd w:val="clear" w:color="auto" w:fill="F2F5FB"/>
            <w:tcMar>
              <w:top w:w="40" w:type="dxa"/>
              <w:left w:w="70" w:type="dxa"/>
              <w:bottom w:w="40" w:type="dxa"/>
              <w:right w:w="70" w:type="dxa"/>
            </w:tcMar>
          </w:tcPr>
          <w:p w14:paraId="406AE8C2" w14:textId="77777777" w:rsidR="00F842B3" w:rsidRDefault="007F444F">
            <w:pPr>
              <w:spacing w:line="230" w:lineRule="auto"/>
            </w:pPr>
            <w:r>
              <w:rPr>
                <w:sz w:val="16"/>
                <w:szCs w:val="16"/>
              </w:rPr>
              <w:t>—</w:t>
            </w:r>
          </w:p>
        </w:tc>
      </w:tr>
      <w:tr w:rsidR="00F842B3" w14:paraId="406AE8C8" w14:textId="77777777">
        <w:tc>
          <w:tcPr>
            <w:tcW w:w="3300" w:type="dxa"/>
            <w:shd w:val="clear" w:color="auto" w:fill="FFFFFF"/>
            <w:tcMar>
              <w:top w:w="40" w:type="dxa"/>
              <w:left w:w="70" w:type="dxa"/>
              <w:bottom w:w="40" w:type="dxa"/>
              <w:right w:w="70" w:type="dxa"/>
            </w:tcMar>
          </w:tcPr>
          <w:p w14:paraId="406AE8C4" w14:textId="77777777" w:rsidR="00F842B3" w:rsidRDefault="007F444F">
            <w:pPr>
              <w:spacing w:line="230" w:lineRule="auto"/>
            </w:pPr>
            <w:r>
              <w:rPr>
                <w:sz w:val="16"/>
                <w:szCs w:val="16"/>
              </w:rPr>
              <w:t>Distributions to LPs (cumulative)</w:t>
            </w:r>
          </w:p>
        </w:tc>
        <w:tc>
          <w:tcPr>
            <w:tcW w:w="1900" w:type="dxa"/>
            <w:shd w:val="clear" w:color="auto" w:fill="FFFFFF"/>
            <w:tcMar>
              <w:top w:w="40" w:type="dxa"/>
              <w:left w:w="70" w:type="dxa"/>
              <w:bottom w:w="40" w:type="dxa"/>
              <w:right w:w="70" w:type="dxa"/>
            </w:tcMar>
          </w:tcPr>
          <w:p w14:paraId="406AE8C5" w14:textId="77777777" w:rsidR="00F842B3" w:rsidRDefault="007F444F">
            <w:pPr>
              <w:spacing w:line="230" w:lineRule="auto"/>
            </w:pPr>
            <w:r>
              <w:rPr>
                <w:sz w:val="16"/>
                <w:szCs w:val="16"/>
              </w:rPr>
              <w:t>US$2.9bn</w:t>
            </w:r>
          </w:p>
        </w:tc>
        <w:tc>
          <w:tcPr>
            <w:tcW w:w="1900" w:type="dxa"/>
            <w:shd w:val="clear" w:color="auto" w:fill="FFFFFF"/>
            <w:tcMar>
              <w:top w:w="40" w:type="dxa"/>
              <w:left w:w="70" w:type="dxa"/>
              <w:bottom w:w="40" w:type="dxa"/>
              <w:right w:w="70" w:type="dxa"/>
            </w:tcMar>
          </w:tcPr>
          <w:p w14:paraId="406AE8C6" w14:textId="77777777" w:rsidR="00F842B3" w:rsidRDefault="007F444F">
            <w:pPr>
              <w:spacing w:line="230" w:lineRule="auto"/>
            </w:pPr>
            <w:r>
              <w:rPr>
                <w:sz w:val="16"/>
                <w:szCs w:val="16"/>
              </w:rPr>
              <w:t>US$3.1bn</w:t>
            </w:r>
          </w:p>
        </w:tc>
        <w:tc>
          <w:tcPr>
            <w:tcW w:w="1500" w:type="dxa"/>
            <w:shd w:val="clear" w:color="auto" w:fill="FFFFFF"/>
            <w:tcMar>
              <w:top w:w="40" w:type="dxa"/>
              <w:left w:w="70" w:type="dxa"/>
              <w:bottom w:w="40" w:type="dxa"/>
              <w:right w:w="70" w:type="dxa"/>
            </w:tcMar>
          </w:tcPr>
          <w:p w14:paraId="406AE8C7" w14:textId="77777777" w:rsidR="00F842B3" w:rsidRDefault="007F444F">
            <w:pPr>
              <w:spacing w:line="230" w:lineRule="auto"/>
            </w:pPr>
            <w:r>
              <w:rPr>
                <w:sz w:val="16"/>
                <w:szCs w:val="16"/>
              </w:rPr>
              <w:t>+US$0.2bn</w:t>
            </w:r>
          </w:p>
        </w:tc>
      </w:tr>
      <w:tr w:rsidR="00F842B3" w14:paraId="406AE8CD" w14:textId="77777777">
        <w:tc>
          <w:tcPr>
            <w:tcW w:w="3300" w:type="dxa"/>
            <w:shd w:val="clear" w:color="auto" w:fill="F2F5FB"/>
            <w:tcMar>
              <w:top w:w="40" w:type="dxa"/>
              <w:left w:w="70" w:type="dxa"/>
              <w:bottom w:w="40" w:type="dxa"/>
              <w:right w:w="70" w:type="dxa"/>
            </w:tcMar>
          </w:tcPr>
          <w:p w14:paraId="406AE8C9" w14:textId="77777777" w:rsidR="00F842B3" w:rsidRDefault="007F444F">
            <w:pPr>
              <w:spacing w:line="230" w:lineRule="auto"/>
            </w:pPr>
            <w:r>
              <w:rPr>
                <w:sz w:val="16"/>
                <w:szCs w:val="16"/>
              </w:rPr>
              <w:t>Committed to investments</w:t>
            </w:r>
          </w:p>
        </w:tc>
        <w:tc>
          <w:tcPr>
            <w:tcW w:w="1900" w:type="dxa"/>
            <w:shd w:val="clear" w:color="auto" w:fill="F2F5FB"/>
            <w:tcMar>
              <w:top w:w="40" w:type="dxa"/>
              <w:left w:w="70" w:type="dxa"/>
              <w:bottom w:w="40" w:type="dxa"/>
              <w:right w:w="70" w:type="dxa"/>
            </w:tcMar>
          </w:tcPr>
          <w:p w14:paraId="406AE8CA" w14:textId="77777777" w:rsidR="00F842B3" w:rsidRDefault="007F444F">
            <w:pPr>
              <w:spacing w:line="230" w:lineRule="auto"/>
            </w:pPr>
            <w:r>
              <w:rPr>
                <w:sz w:val="16"/>
                <w:szCs w:val="16"/>
              </w:rPr>
              <w:t>US$11.7bn</w:t>
            </w:r>
          </w:p>
        </w:tc>
        <w:tc>
          <w:tcPr>
            <w:tcW w:w="1900" w:type="dxa"/>
            <w:shd w:val="clear" w:color="auto" w:fill="F2F5FB"/>
            <w:tcMar>
              <w:top w:w="40" w:type="dxa"/>
              <w:left w:w="70" w:type="dxa"/>
              <w:bottom w:w="40" w:type="dxa"/>
              <w:right w:w="70" w:type="dxa"/>
            </w:tcMar>
          </w:tcPr>
          <w:p w14:paraId="406AE8CB" w14:textId="77777777" w:rsidR="00F842B3" w:rsidRDefault="007F444F">
            <w:pPr>
              <w:spacing w:line="230" w:lineRule="auto"/>
            </w:pPr>
            <w:r>
              <w:rPr>
                <w:sz w:val="16"/>
                <w:szCs w:val="16"/>
              </w:rPr>
              <w:t>US$12.0bn</w:t>
            </w:r>
          </w:p>
        </w:tc>
        <w:tc>
          <w:tcPr>
            <w:tcW w:w="1500" w:type="dxa"/>
            <w:shd w:val="clear" w:color="auto" w:fill="F2F5FB"/>
            <w:tcMar>
              <w:top w:w="40" w:type="dxa"/>
              <w:left w:w="70" w:type="dxa"/>
              <w:bottom w:w="40" w:type="dxa"/>
              <w:right w:w="70" w:type="dxa"/>
            </w:tcMar>
          </w:tcPr>
          <w:p w14:paraId="406AE8CC" w14:textId="77777777" w:rsidR="00F842B3" w:rsidRDefault="007F444F">
            <w:pPr>
              <w:spacing w:line="230" w:lineRule="auto"/>
            </w:pPr>
            <w:r>
              <w:rPr>
                <w:sz w:val="16"/>
                <w:szCs w:val="16"/>
              </w:rPr>
              <w:t>+US$0.3bn</w:t>
            </w:r>
          </w:p>
        </w:tc>
      </w:tr>
    </w:tbl>
    <w:p w14:paraId="406AE8CE" w14:textId="77777777" w:rsidR="00F842B3" w:rsidRDefault="007F444F">
      <w:pPr>
        <w:spacing w:before="30" w:after="180"/>
      </w:pPr>
      <w:r>
        <w:rPr>
          <w:color w:val="5A6B7B"/>
          <w:sz w:val="14"/>
          <w:szCs w:val="14"/>
        </w:rPr>
        <w:t>Note: Gross portfolio metrics exclude LP investments and securities received in-kind (totals including them: 1Q26 gross TVPI 1.5x on US$13,801.0m holding value). Net figures are LP net blended per the letters' endnote formulas; 1Q26 net IRR excluding the credit facility is 7.1%. Gross distribution mix percentages read from the 'Gross Distributions by Type' chart (1Q26 p. 4); securitization share cross-checks to the US$1,229.7m securitization line in the Portfolio Summary (p. 8). Source: Blue Owl, GP Stakes V quarterly letters — 1Q26 pp. 4, 7–8; 4Q25 pp. 4, 7–8.</w:t>
      </w:r>
    </w:p>
    <w:p w14:paraId="406AE8CF" w14:textId="77777777" w:rsidR="00F842B3" w:rsidRDefault="007F444F">
      <w:pPr>
        <w:pStyle w:val="Heading1"/>
        <w:spacing w:before="280" w:after="120"/>
      </w:pPr>
      <w:r>
        <w:t>Competitor Analysis</w:t>
      </w:r>
    </w:p>
    <w:p w14:paraId="406AE8D0" w14:textId="77777777" w:rsidR="00F842B3" w:rsidRDefault="007F444F">
      <w:pPr>
        <w:spacing w:after="140" w:line="264" w:lineRule="auto"/>
        <w:jc w:val="both"/>
      </w:pPr>
      <w:r>
        <w:t xml:space="preserve">This section benchmarks Blue Owl GP Stakes V (§8) against the GP-stakes competitor set, following the positioning approach of the Private Credit report §9 and focusing on QoQ change. A note on vintages before comparing: </w:t>
      </w:r>
      <w:proofErr w:type="spellStart"/>
      <w:r>
        <w:t>PitchBook</w:t>
      </w:r>
      <w:proofErr w:type="spellEnd"/>
      <w:r>
        <w:t xml:space="preserve"> defines vintage year as </w:t>
      </w:r>
      <w:r>
        <w:rPr>
          <w:b/>
          <w:bCs/>
        </w:rPr>
        <w:t>the year of a fund's first investment</w:t>
      </w:r>
      <w:r>
        <w:t xml:space="preserve"> (final-close year only when the first investment cannot be confirmed). Applying the same convention to our holding, GPS V's earliest at-transaction dates are </w:t>
      </w:r>
      <w:r>
        <w:rPr>
          <w:b/>
          <w:bCs/>
        </w:rPr>
        <w:t>Nov 2020</w:t>
      </w:r>
      <w:r>
        <w:t xml:space="preserve"> (Veritas) and </w:t>
      </w:r>
      <w:r>
        <w:rPr>
          <w:b/>
          <w:bCs/>
        </w:rPr>
        <w:t>Dec 2020</w:t>
      </w:r>
      <w:r>
        <w:t xml:space="preserve"> (ICONIQ, NEA) against a 2022 final close — so its effective vintage is </w:t>
      </w:r>
      <w:r>
        <w:rPr>
          <w:b/>
          <w:bCs/>
        </w:rPr>
        <w:t>2020–21</w:t>
      </w:r>
      <w:r>
        <w:t xml:space="preserve">, and its fund age for benchmarking is </w:t>
      </w:r>
      <w:r>
        <w:rPr>
          <w:b/>
          <w:bCs/>
        </w:rPr>
        <w:t>~5 years</w:t>
      </w:r>
      <w:r>
        <w:t xml:space="preserve">, not ~4. HPC Fund </w:t>
      </w:r>
      <w:r>
        <w:lastRenderedPageBreak/>
        <w:t xml:space="preserve">I's first investment is </w:t>
      </w:r>
      <w:r>
        <w:rPr>
          <w:b/>
          <w:bCs/>
        </w:rPr>
        <w:t>Oct 2021</w:t>
      </w:r>
      <w:r>
        <w:t xml:space="preserve"> (</w:t>
      </w:r>
      <w:proofErr w:type="spellStart"/>
      <w:r>
        <w:t>MidOcean</w:t>
      </w:r>
      <w:proofErr w:type="spellEnd"/>
      <w:r>
        <w:t xml:space="preserve">) against a Jan 2025 final close — effective vintage </w:t>
      </w:r>
      <w:r>
        <w:rPr>
          <w:b/>
          <w:bCs/>
        </w:rPr>
        <w:t>2021</w:t>
      </w:r>
      <w:r>
        <w:t>. All league-table vintages below are on the first-investment basis.</w:t>
      </w:r>
    </w:p>
    <w:p w14:paraId="406AE8D1" w14:textId="77777777" w:rsidR="00F842B3" w:rsidRDefault="007F444F">
      <w:pPr>
        <w:pStyle w:val="Heading2"/>
        <w:spacing w:before="200" w:after="100"/>
      </w:pPr>
      <w:r>
        <w:t>9.1 Positioning vs. the GP-stakes universe</w:t>
      </w:r>
    </w:p>
    <w:p w14:paraId="406AE8D2" w14:textId="77777777" w:rsidR="00F842B3" w:rsidRDefault="007F444F">
      <w:pPr>
        <w:spacing w:after="140" w:line="264" w:lineRule="auto"/>
        <w:jc w:val="both"/>
      </w:pPr>
      <w:r>
        <w:t xml:space="preserve">Within the reporting GP-stakes universe, GPS V's </w:t>
      </w:r>
      <w:r>
        <w:rPr>
          <w:b/>
          <w:bCs/>
        </w:rPr>
        <w:t>7.6%</w:t>
      </w:r>
      <w:r>
        <w:t xml:space="preserve"> net blended IRR sits at the low end — the seven </w:t>
      </w:r>
      <w:proofErr w:type="spellStart"/>
      <w:r>
        <w:t>PitchBook</w:t>
      </w:r>
      <w:proofErr w:type="spellEnd"/>
      <w:r>
        <w:t xml:space="preserve">-reporting peers span </w:t>
      </w:r>
      <w:r>
        <w:rPr>
          <w:b/>
          <w:bCs/>
        </w:rPr>
        <w:t>-1.6%</w:t>
      </w:r>
      <w:r>
        <w:t xml:space="preserve"> (Rosemont I, 2000) to </w:t>
      </w:r>
      <w:r>
        <w:rPr>
          <w:b/>
          <w:bCs/>
        </w:rPr>
        <w:t>23.6%</w:t>
      </w:r>
      <w:r>
        <w:t xml:space="preserve"> (Azimut I, 2024), with the post-2015 reporting funds clustered around </w:t>
      </w:r>
      <w:r>
        <w:rPr>
          <w:b/>
          <w:bCs/>
        </w:rPr>
        <w:t>~21–24%</w:t>
      </w:r>
      <w:r>
        <w:t xml:space="preserve"> — while its </w:t>
      </w:r>
      <w:r>
        <w:rPr>
          <w:b/>
          <w:bCs/>
        </w:rPr>
        <w:t>0.4x DPI</w:t>
      </w:r>
      <w:r>
        <w:t xml:space="preserve"> leads every young peer (Odyssey 0.35x, Azimut 0.26x, GP Stakes VI 0.01x). Both readings need the same caveats: </w:t>
      </w:r>
      <w:proofErr w:type="spellStart"/>
      <w:r>
        <w:t>PitchBook</w:t>
      </w:r>
      <w:proofErr w:type="spellEnd"/>
      <w:r>
        <w:t xml:space="preserve"> figures are self-reported/FOIA-sourced and lagged, GPS V's is the freshest mark in the table (31 Mar 2026) taken in a markdown quarter, and the young funds' high IRRs rest on early, largely unrealized marks. HPC Fund I screens strongest on a like-for-like basis: </w:t>
      </w:r>
      <w:r>
        <w:rPr>
          <w:b/>
          <w:bCs/>
        </w:rPr>
        <w:t>16.6%</w:t>
      </w:r>
      <w:r>
        <w:t xml:space="preserve"> net IRR with </w:t>
      </w:r>
      <w:r>
        <w:rPr>
          <w:b/>
          <w:bCs/>
        </w:rPr>
        <w:t>1.2x</w:t>
      </w:r>
      <w:r>
        <w:t xml:space="preserve"> TVPI — though </w:t>
      </w:r>
      <w:r>
        <w:rPr>
          <w:b/>
          <w:bCs/>
        </w:rPr>
        <w:t>11.8%</w:t>
      </w:r>
      <w:r>
        <w:t xml:space="preserve"> pro forma once its subscription-line effect is stripped out, a flattering mechanic GPS V's blended figure does not enjoy (its credit facility cuts the other way: 7.6% with, 7.1% without).</w:t>
      </w:r>
    </w:p>
    <w:p w14:paraId="406AE8D3" w14:textId="77777777" w:rsidR="00F842B3" w:rsidRDefault="007F444F">
      <w:pPr>
        <w:keepNext/>
        <w:spacing w:before="60" w:after="30"/>
      </w:pPr>
      <w:r>
        <w:rPr>
          <w:b/>
          <w:bCs/>
          <w:color w:val="16283F"/>
        </w:rPr>
        <w:t xml:space="preserve">Exhibit 40: GP-stakes league table — </w:t>
      </w:r>
      <w:proofErr w:type="spellStart"/>
      <w:r>
        <w:rPr>
          <w:b/>
          <w:bCs/>
          <w:color w:val="16283F"/>
        </w:rPr>
        <w:t>Junson</w:t>
      </w:r>
      <w:proofErr w:type="spellEnd"/>
      <w:r>
        <w:rPr>
          <w:b/>
          <w:bCs/>
          <w:color w:val="16283F"/>
        </w:rPr>
        <w:t xml:space="preserve"> holding vs. competitors (vintage = first-investment year)</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268"/>
        <w:gridCol w:w="1134"/>
        <w:gridCol w:w="1276"/>
        <w:gridCol w:w="1279"/>
        <w:gridCol w:w="711"/>
        <w:gridCol w:w="711"/>
      </w:tblGrid>
      <w:tr w:rsidR="00636EC8" w14:paraId="406AE8DB" w14:textId="77777777" w:rsidTr="008F301A">
        <w:trPr>
          <w:trHeight w:val="185"/>
          <w:tblHeader/>
        </w:trPr>
        <w:tc>
          <w:tcPr>
            <w:tcW w:w="1980" w:type="dxa"/>
            <w:shd w:val="clear" w:color="auto" w:fill="1F3B5B"/>
            <w:tcMar>
              <w:top w:w="40" w:type="dxa"/>
              <w:left w:w="70" w:type="dxa"/>
              <w:bottom w:w="40" w:type="dxa"/>
              <w:right w:w="70" w:type="dxa"/>
            </w:tcMar>
          </w:tcPr>
          <w:p w14:paraId="406AE8D4" w14:textId="77777777" w:rsidR="00636EC8" w:rsidRDefault="00636EC8">
            <w:pPr>
              <w:spacing w:line="230" w:lineRule="auto"/>
            </w:pPr>
            <w:r>
              <w:rPr>
                <w:b/>
                <w:bCs/>
                <w:color w:val="FFFFFF"/>
                <w:sz w:val="16"/>
                <w:szCs w:val="16"/>
              </w:rPr>
              <w:t>Fund</w:t>
            </w:r>
          </w:p>
        </w:tc>
        <w:tc>
          <w:tcPr>
            <w:tcW w:w="2268" w:type="dxa"/>
            <w:shd w:val="clear" w:color="auto" w:fill="1F3B5B"/>
          </w:tcPr>
          <w:p w14:paraId="7B0F0787" w14:textId="4A05CA54" w:rsidR="00636EC8" w:rsidRDefault="00636EC8">
            <w:pPr>
              <w:spacing w:line="230" w:lineRule="auto"/>
              <w:rPr>
                <w:b/>
                <w:bCs/>
                <w:color w:val="FFFFFF"/>
                <w:sz w:val="16"/>
                <w:szCs w:val="16"/>
              </w:rPr>
            </w:pPr>
            <w:r>
              <w:rPr>
                <w:b/>
                <w:bCs/>
                <w:color w:val="FFFFFF"/>
                <w:sz w:val="16"/>
                <w:szCs w:val="16"/>
              </w:rPr>
              <w:t xml:space="preserve"> Manager</w:t>
            </w:r>
          </w:p>
        </w:tc>
        <w:tc>
          <w:tcPr>
            <w:tcW w:w="1134" w:type="dxa"/>
            <w:shd w:val="clear" w:color="auto" w:fill="1F3B5B"/>
            <w:tcMar>
              <w:top w:w="40" w:type="dxa"/>
              <w:left w:w="70" w:type="dxa"/>
              <w:bottom w:w="40" w:type="dxa"/>
              <w:right w:w="70" w:type="dxa"/>
            </w:tcMar>
          </w:tcPr>
          <w:p w14:paraId="406AE8D5" w14:textId="58C43AC2" w:rsidR="00636EC8" w:rsidRDefault="00636EC8">
            <w:pPr>
              <w:spacing w:line="230" w:lineRule="auto"/>
            </w:pPr>
            <w:r>
              <w:rPr>
                <w:b/>
                <w:bCs/>
                <w:color w:val="FFFFFF"/>
                <w:sz w:val="16"/>
                <w:szCs w:val="16"/>
              </w:rPr>
              <w:t>Vintage</w:t>
            </w:r>
          </w:p>
        </w:tc>
        <w:tc>
          <w:tcPr>
            <w:tcW w:w="1276" w:type="dxa"/>
            <w:shd w:val="clear" w:color="auto" w:fill="1F3B5B"/>
            <w:tcMar>
              <w:top w:w="40" w:type="dxa"/>
              <w:left w:w="70" w:type="dxa"/>
              <w:bottom w:w="40" w:type="dxa"/>
              <w:right w:w="70" w:type="dxa"/>
            </w:tcMar>
          </w:tcPr>
          <w:p w14:paraId="406AE8D6" w14:textId="77777777" w:rsidR="00636EC8" w:rsidRDefault="00636EC8">
            <w:pPr>
              <w:spacing w:line="230" w:lineRule="auto"/>
            </w:pPr>
            <w:r>
              <w:rPr>
                <w:b/>
                <w:bCs/>
                <w:color w:val="FFFFFF"/>
                <w:sz w:val="16"/>
                <w:szCs w:val="16"/>
              </w:rPr>
              <w:t>Size (</w:t>
            </w:r>
            <w:proofErr w:type="spellStart"/>
            <w:r>
              <w:rPr>
                <w:b/>
                <w:bCs/>
                <w:color w:val="FFFFFF"/>
                <w:sz w:val="16"/>
                <w:szCs w:val="16"/>
              </w:rPr>
              <w:t>US$m</w:t>
            </w:r>
            <w:proofErr w:type="spellEnd"/>
            <w:r>
              <w:rPr>
                <w:b/>
                <w:bCs/>
                <w:color w:val="FFFFFF"/>
                <w:sz w:val="16"/>
                <w:szCs w:val="16"/>
              </w:rPr>
              <w:t>)</w:t>
            </w:r>
          </w:p>
        </w:tc>
        <w:tc>
          <w:tcPr>
            <w:tcW w:w="1279" w:type="dxa"/>
            <w:shd w:val="clear" w:color="auto" w:fill="1F3B5B"/>
            <w:tcMar>
              <w:top w:w="40" w:type="dxa"/>
              <w:left w:w="70" w:type="dxa"/>
              <w:bottom w:w="40" w:type="dxa"/>
              <w:right w:w="70" w:type="dxa"/>
            </w:tcMar>
          </w:tcPr>
          <w:p w14:paraId="406AE8D7" w14:textId="77777777" w:rsidR="00636EC8" w:rsidRDefault="00636EC8">
            <w:pPr>
              <w:spacing w:line="230" w:lineRule="auto"/>
            </w:pPr>
            <w:r>
              <w:rPr>
                <w:b/>
                <w:bCs/>
                <w:color w:val="FFFFFF"/>
                <w:sz w:val="16"/>
                <w:szCs w:val="16"/>
              </w:rPr>
              <w:t>Net IRR (%)</w:t>
            </w:r>
          </w:p>
        </w:tc>
        <w:tc>
          <w:tcPr>
            <w:tcW w:w="711" w:type="dxa"/>
            <w:shd w:val="clear" w:color="auto" w:fill="1F3B5B"/>
            <w:tcMar>
              <w:top w:w="40" w:type="dxa"/>
              <w:left w:w="70" w:type="dxa"/>
              <w:bottom w:w="40" w:type="dxa"/>
              <w:right w:w="70" w:type="dxa"/>
            </w:tcMar>
          </w:tcPr>
          <w:p w14:paraId="406AE8D8" w14:textId="77777777" w:rsidR="00636EC8" w:rsidRDefault="00636EC8">
            <w:pPr>
              <w:spacing w:line="230" w:lineRule="auto"/>
            </w:pPr>
            <w:r>
              <w:rPr>
                <w:b/>
                <w:bCs/>
                <w:color w:val="FFFFFF"/>
                <w:sz w:val="16"/>
                <w:szCs w:val="16"/>
              </w:rPr>
              <w:t>TVPI</w:t>
            </w:r>
          </w:p>
        </w:tc>
        <w:tc>
          <w:tcPr>
            <w:tcW w:w="711" w:type="dxa"/>
            <w:shd w:val="clear" w:color="auto" w:fill="1F3B5B"/>
            <w:tcMar>
              <w:top w:w="40" w:type="dxa"/>
              <w:left w:w="70" w:type="dxa"/>
              <w:bottom w:w="40" w:type="dxa"/>
              <w:right w:w="70" w:type="dxa"/>
            </w:tcMar>
          </w:tcPr>
          <w:p w14:paraId="406AE8D9" w14:textId="77777777" w:rsidR="00636EC8" w:rsidRDefault="00636EC8">
            <w:pPr>
              <w:spacing w:line="230" w:lineRule="auto"/>
            </w:pPr>
            <w:r>
              <w:rPr>
                <w:b/>
                <w:bCs/>
                <w:color w:val="FFFFFF"/>
                <w:sz w:val="16"/>
                <w:szCs w:val="16"/>
              </w:rPr>
              <w:t>DPI</w:t>
            </w:r>
          </w:p>
        </w:tc>
      </w:tr>
      <w:tr w:rsidR="00636EC8" w14:paraId="406AE8E3" w14:textId="77777777" w:rsidTr="008F301A">
        <w:trPr>
          <w:trHeight w:val="225"/>
        </w:trPr>
        <w:tc>
          <w:tcPr>
            <w:tcW w:w="1980" w:type="dxa"/>
            <w:shd w:val="clear" w:color="auto" w:fill="FFFFFF"/>
            <w:tcMar>
              <w:top w:w="40" w:type="dxa"/>
              <w:left w:w="70" w:type="dxa"/>
              <w:bottom w:w="40" w:type="dxa"/>
              <w:right w:w="70" w:type="dxa"/>
            </w:tcMar>
          </w:tcPr>
          <w:p w14:paraId="406AE8DC" w14:textId="77777777" w:rsidR="00636EC8" w:rsidRDefault="00636EC8">
            <w:pPr>
              <w:spacing w:line="230" w:lineRule="auto"/>
            </w:pPr>
            <w:r>
              <w:rPr>
                <w:sz w:val="16"/>
                <w:szCs w:val="16"/>
              </w:rPr>
              <w:t>Blue Owl GP Stakes V (</w:t>
            </w:r>
            <w:proofErr w:type="spellStart"/>
            <w:r>
              <w:rPr>
                <w:sz w:val="16"/>
                <w:szCs w:val="16"/>
              </w:rPr>
              <w:t>Junson</w:t>
            </w:r>
            <w:proofErr w:type="spellEnd"/>
            <w:r>
              <w:rPr>
                <w:sz w:val="16"/>
                <w:szCs w:val="16"/>
              </w:rPr>
              <w:t>)</w:t>
            </w:r>
          </w:p>
        </w:tc>
        <w:tc>
          <w:tcPr>
            <w:tcW w:w="2268" w:type="dxa"/>
            <w:shd w:val="clear" w:color="auto" w:fill="FFFFFF"/>
          </w:tcPr>
          <w:p w14:paraId="48126A1B" w14:textId="6F0ADAA2" w:rsidR="00636EC8" w:rsidRDefault="00636EC8">
            <w:pPr>
              <w:spacing w:line="230" w:lineRule="auto"/>
              <w:rPr>
                <w:sz w:val="16"/>
                <w:szCs w:val="16"/>
              </w:rPr>
            </w:pPr>
            <w:r>
              <w:rPr>
                <w:sz w:val="16"/>
                <w:szCs w:val="16"/>
              </w:rPr>
              <w:t>Blue Owl</w:t>
            </w:r>
          </w:p>
        </w:tc>
        <w:tc>
          <w:tcPr>
            <w:tcW w:w="1134" w:type="dxa"/>
            <w:shd w:val="clear" w:color="auto" w:fill="FFFFFF"/>
            <w:tcMar>
              <w:top w:w="40" w:type="dxa"/>
              <w:left w:w="70" w:type="dxa"/>
              <w:bottom w:w="40" w:type="dxa"/>
              <w:right w:w="70" w:type="dxa"/>
            </w:tcMar>
          </w:tcPr>
          <w:p w14:paraId="406AE8DD" w14:textId="7297E3FE" w:rsidR="00636EC8" w:rsidRDefault="00636EC8">
            <w:pPr>
              <w:spacing w:line="230" w:lineRule="auto"/>
            </w:pPr>
            <w:r>
              <w:rPr>
                <w:sz w:val="16"/>
                <w:szCs w:val="16"/>
              </w:rPr>
              <w:t>2020–21 (FC 2022)</w:t>
            </w:r>
          </w:p>
        </w:tc>
        <w:tc>
          <w:tcPr>
            <w:tcW w:w="1276" w:type="dxa"/>
            <w:shd w:val="clear" w:color="auto" w:fill="FFFFFF"/>
            <w:tcMar>
              <w:top w:w="40" w:type="dxa"/>
              <w:left w:w="70" w:type="dxa"/>
              <w:bottom w:w="40" w:type="dxa"/>
              <w:right w:w="70" w:type="dxa"/>
            </w:tcMar>
          </w:tcPr>
          <w:p w14:paraId="406AE8DE" w14:textId="77777777" w:rsidR="00636EC8" w:rsidRDefault="00636EC8">
            <w:pPr>
              <w:spacing w:line="230" w:lineRule="auto"/>
            </w:pPr>
            <w:r>
              <w:rPr>
                <w:sz w:val="16"/>
                <w:szCs w:val="16"/>
              </w:rPr>
              <w:t>12,900 comm.</w:t>
            </w:r>
          </w:p>
        </w:tc>
        <w:tc>
          <w:tcPr>
            <w:tcW w:w="1279" w:type="dxa"/>
            <w:shd w:val="clear" w:color="auto" w:fill="FFFFFF"/>
            <w:tcMar>
              <w:top w:w="40" w:type="dxa"/>
              <w:left w:w="70" w:type="dxa"/>
              <w:bottom w:w="40" w:type="dxa"/>
              <w:right w:w="70" w:type="dxa"/>
            </w:tcMar>
          </w:tcPr>
          <w:p w14:paraId="406AE8DF" w14:textId="48991FD6" w:rsidR="00636EC8" w:rsidRDefault="00636EC8">
            <w:pPr>
              <w:spacing w:line="230" w:lineRule="auto"/>
            </w:pPr>
            <w:r>
              <w:rPr>
                <w:sz w:val="16"/>
                <w:szCs w:val="16"/>
              </w:rPr>
              <w:t>7.6</w:t>
            </w:r>
          </w:p>
        </w:tc>
        <w:tc>
          <w:tcPr>
            <w:tcW w:w="711" w:type="dxa"/>
            <w:shd w:val="clear" w:color="auto" w:fill="FFFFFF"/>
            <w:tcMar>
              <w:top w:w="40" w:type="dxa"/>
              <w:left w:w="70" w:type="dxa"/>
              <w:bottom w:w="40" w:type="dxa"/>
              <w:right w:w="70" w:type="dxa"/>
            </w:tcMar>
          </w:tcPr>
          <w:p w14:paraId="406AE8E0" w14:textId="77777777" w:rsidR="00636EC8" w:rsidRDefault="00636EC8">
            <w:pPr>
              <w:spacing w:line="230" w:lineRule="auto"/>
            </w:pPr>
            <w:r>
              <w:rPr>
                <w:sz w:val="16"/>
                <w:szCs w:val="16"/>
              </w:rPr>
              <w:t>1.1x</w:t>
            </w:r>
          </w:p>
        </w:tc>
        <w:tc>
          <w:tcPr>
            <w:tcW w:w="711" w:type="dxa"/>
            <w:shd w:val="clear" w:color="auto" w:fill="FFFFFF"/>
            <w:tcMar>
              <w:top w:w="40" w:type="dxa"/>
              <w:left w:w="70" w:type="dxa"/>
              <w:bottom w:w="40" w:type="dxa"/>
              <w:right w:w="70" w:type="dxa"/>
            </w:tcMar>
          </w:tcPr>
          <w:p w14:paraId="406AE8E1" w14:textId="77777777" w:rsidR="00636EC8" w:rsidRDefault="00636EC8">
            <w:pPr>
              <w:spacing w:line="230" w:lineRule="auto"/>
            </w:pPr>
            <w:r>
              <w:rPr>
                <w:sz w:val="16"/>
                <w:szCs w:val="16"/>
              </w:rPr>
              <w:t>0.4x</w:t>
            </w:r>
          </w:p>
        </w:tc>
      </w:tr>
      <w:tr w:rsidR="00636EC8" w14:paraId="406AE8EB" w14:textId="77777777" w:rsidTr="008F301A">
        <w:trPr>
          <w:trHeight w:val="185"/>
        </w:trPr>
        <w:tc>
          <w:tcPr>
            <w:tcW w:w="1980" w:type="dxa"/>
            <w:shd w:val="clear" w:color="auto" w:fill="F2F5FB"/>
            <w:tcMar>
              <w:top w:w="40" w:type="dxa"/>
              <w:left w:w="70" w:type="dxa"/>
              <w:bottom w:w="40" w:type="dxa"/>
              <w:right w:w="70" w:type="dxa"/>
            </w:tcMar>
          </w:tcPr>
          <w:p w14:paraId="406AE8E4" w14:textId="77777777" w:rsidR="00636EC8" w:rsidRDefault="00636EC8">
            <w:pPr>
              <w:spacing w:line="230" w:lineRule="auto"/>
            </w:pPr>
            <w:r>
              <w:rPr>
                <w:sz w:val="16"/>
                <w:szCs w:val="16"/>
              </w:rPr>
              <w:t>Rosemont Partners I</w:t>
            </w:r>
          </w:p>
        </w:tc>
        <w:tc>
          <w:tcPr>
            <w:tcW w:w="2268" w:type="dxa"/>
            <w:shd w:val="clear" w:color="auto" w:fill="F2F5FB"/>
          </w:tcPr>
          <w:p w14:paraId="653986DB" w14:textId="0F74D7BA" w:rsidR="00636EC8" w:rsidRDefault="006727E2">
            <w:pPr>
              <w:spacing w:line="230" w:lineRule="auto"/>
              <w:rPr>
                <w:sz w:val="16"/>
                <w:szCs w:val="16"/>
              </w:rPr>
            </w:pPr>
            <w:r w:rsidRPr="006727E2">
              <w:rPr>
                <w:sz w:val="16"/>
                <w:szCs w:val="16"/>
              </w:rPr>
              <w:t>Rosemont Investment Group</w:t>
            </w:r>
          </w:p>
        </w:tc>
        <w:tc>
          <w:tcPr>
            <w:tcW w:w="1134" w:type="dxa"/>
            <w:shd w:val="clear" w:color="auto" w:fill="F2F5FB"/>
            <w:tcMar>
              <w:top w:w="40" w:type="dxa"/>
              <w:left w:w="70" w:type="dxa"/>
              <w:bottom w:w="40" w:type="dxa"/>
              <w:right w:w="70" w:type="dxa"/>
            </w:tcMar>
          </w:tcPr>
          <w:p w14:paraId="406AE8E5" w14:textId="7B5ACB63" w:rsidR="00636EC8" w:rsidRDefault="00636EC8">
            <w:pPr>
              <w:spacing w:line="230" w:lineRule="auto"/>
            </w:pPr>
            <w:r>
              <w:rPr>
                <w:sz w:val="16"/>
                <w:szCs w:val="16"/>
              </w:rPr>
              <w:t>2000</w:t>
            </w:r>
          </w:p>
        </w:tc>
        <w:tc>
          <w:tcPr>
            <w:tcW w:w="1276" w:type="dxa"/>
            <w:shd w:val="clear" w:color="auto" w:fill="F2F5FB"/>
            <w:tcMar>
              <w:top w:w="40" w:type="dxa"/>
              <w:left w:w="70" w:type="dxa"/>
              <w:bottom w:w="40" w:type="dxa"/>
              <w:right w:w="70" w:type="dxa"/>
            </w:tcMar>
          </w:tcPr>
          <w:p w14:paraId="406AE8E6" w14:textId="77777777" w:rsidR="00636EC8" w:rsidRDefault="00636EC8">
            <w:pPr>
              <w:spacing w:line="230" w:lineRule="auto"/>
            </w:pPr>
            <w:r>
              <w:rPr>
                <w:sz w:val="16"/>
                <w:szCs w:val="16"/>
              </w:rPr>
              <w:t>38</w:t>
            </w:r>
          </w:p>
        </w:tc>
        <w:tc>
          <w:tcPr>
            <w:tcW w:w="1279" w:type="dxa"/>
            <w:shd w:val="clear" w:color="auto" w:fill="F2F5FB"/>
            <w:tcMar>
              <w:top w:w="40" w:type="dxa"/>
              <w:left w:w="70" w:type="dxa"/>
              <w:bottom w:w="40" w:type="dxa"/>
              <w:right w:w="70" w:type="dxa"/>
            </w:tcMar>
          </w:tcPr>
          <w:p w14:paraId="406AE8E7" w14:textId="77777777" w:rsidR="00636EC8" w:rsidRDefault="00636EC8">
            <w:pPr>
              <w:spacing w:line="230" w:lineRule="auto"/>
            </w:pPr>
            <w:r>
              <w:rPr>
                <w:sz w:val="16"/>
                <w:szCs w:val="16"/>
              </w:rPr>
              <w:t>-1.6</w:t>
            </w:r>
          </w:p>
        </w:tc>
        <w:tc>
          <w:tcPr>
            <w:tcW w:w="711" w:type="dxa"/>
            <w:shd w:val="clear" w:color="auto" w:fill="F2F5FB"/>
            <w:tcMar>
              <w:top w:w="40" w:type="dxa"/>
              <w:left w:w="70" w:type="dxa"/>
              <w:bottom w:w="40" w:type="dxa"/>
              <w:right w:w="70" w:type="dxa"/>
            </w:tcMar>
          </w:tcPr>
          <w:p w14:paraId="406AE8E8" w14:textId="77777777" w:rsidR="00636EC8" w:rsidRDefault="00636EC8">
            <w:pPr>
              <w:spacing w:line="230" w:lineRule="auto"/>
            </w:pPr>
            <w:r>
              <w:rPr>
                <w:sz w:val="16"/>
                <w:szCs w:val="16"/>
              </w:rPr>
              <w:t>0.94x</w:t>
            </w:r>
          </w:p>
        </w:tc>
        <w:tc>
          <w:tcPr>
            <w:tcW w:w="711" w:type="dxa"/>
            <w:shd w:val="clear" w:color="auto" w:fill="F2F5FB"/>
            <w:tcMar>
              <w:top w:w="40" w:type="dxa"/>
              <w:left w:w="70" w:type="dxa"/>
              <w:bottom w:w="40" w:type="dxa"/>
              <w:right w:w="70" w:type="dxa"/>
            </w:tcMar>
          </w:tcPr>
          <w:p w14:paraId="406AE8E9" w14:textId="77777777" w:rsidR="00636EC8" w:rsidRDefault="00636EC8">
            <w:pPr>
              <w:spacing w:line="230" w:lineRule="auto"/>
            </w:pPr>
            <w:r>
              <w:rPr>
                <w:sz w:val="16"/>
                <w:szCs w:val="16"/>
              </w:rPr>
              <w:t>0.36x</w:t>
            </w:r>
          </w:p>
        </w:tc>
      </w:tr>
      <w:tr w:rsidR="00636EC8" w14:paraId="406AE8F3" w14:textId="77777777" w:rsidTr="008F301A">
        <w:trPr>
          <w:trHeight w:val="178"/>
        </w:trPr>
        <w:tc>
          <w:tcPr>
            <w:tcW w:w="1980" w:type="dxa"/>
            <w:shd w:val="clear" w:color="auto" w:fill="FFFFFF"/>
            <w:tcMar>
              <w:top w:w="40" w:type="dxa"/>
              <w:left w:w="70" w:type="dxa"/>
              <w:bottom w:w="40" w:type="dxa"/>
              <w:right w:w="70" w:type="dxa"/>
            </w:tcMar>
          </w:tcPr>
          <w:p w14:paraId="406AE8EC" w14:textId="77777777" w:rsidR="00636EC8" w:rsidRDefault="00636EC8">
            <w:pPr>
              <w:spacing w:line="230" w:lineRule="auto"/>
            </w:pPr>
            <w:proofErr w:type="spellStart"/>
            <w:r>
              <w:rPr>
                <w:sz w:val="16"/>
                <w:szCs w:val="16"/>
              </w:rPr>
              <w:t>Petershill</w:t>
            </w:r>
            <w:proofErr w:type="spellEnd"/>
            <w:r>
              <w:rPr>
                <w:sz w:val="16"/>
                <w:szCs w:val="16"/>
              </w:rPr>
              <w:t xml:space="preserve"> I</w:t>
            </w:r>
          </w:p>
        </w:tc>
        <w:tc>
          <w:tcPr>
            <w:tcW w:w="2268" w:type="dxa"/>
            <w:shd w:val="clear" w:color="auto" w:fill="FFFFFF"/>
          </w:tcPr>
          <w:p w14:paraId="40407411" w14:textId="471EB57A" w:rsidR="00636EC8" w:rsidRDefault="001B0082">
            <w:pPr>
              <w:spacing w:line="230" w:lineRule="auto"/>
              <w:rPr>
                <w:sz w:val="16"/>
                <w:szCs w:val="16"/>
              </w:rPr>
            </w:pPr>
            <w:r>
              <w:rPr>
                <w:sz w:val="16"/>
                <w:szCs w:val="16"/>
              </w:rPr>
              <w:t>Goldman Sachs Asset Management</w:t>
            </w:r>
          </w:p>
        </w:tc>
        <w:tc>
          <w:tcPr>
            <w:tcW w:w="1134" w:type="dxa"/>
            <w:shd w:val="clear" w:color="auto" w:fill="FFFFFF"/>
            <w:tcMar>
              <w:top w:w="40" w:type="dxa"/>
              <w:left w:w="70" w:type="dxa"/>
              <w:bottom w:w="40" w:type="dxa"/>
              <w:right w:w="70" w:type="dxa"/>
            </w:tcMar>
          </w:tcPr>
          <w:p w14:paraId="406AE8ED" w14:textId="4D57E6DC" w:rsidR="00636EC8" w:rsidRDefault="00636EC8">
            <w:pPr>
              <w:spacing w:line="230" w:lineRule="auto"/>
            </w:pPr>
            <w:r>
              <w:rPr>
                <w:sz w:val="16"/>
                <w:szCs w:val="16"/>
              </w:rPr>
              <w:t>2007</w:t>
            </w:r>
          </w:p>
        </w:tc>
        <w:tc>
          <w:tcPr>
            <w:tcW w:w="1276" w:type="dxa"/>
            <w:shd w:val="clear" w:color="auto" w:fill="FFFFFF"/>
            <w:tcMar>
              <w:top w:w="40" w:type="dxa"/>
              <w:left w:w="70" w:type="dxa"/>
              <w:bottom w:w="40" w:type="dxa"/>
              <w:right w:w="70" w:type="dxa"/>
            </w:tcMar>
          </w:tcPr>
          <w:p w14:paraId="406AE8EE" w14:textId="77777777" w:rsidR="00636EC8" w:rsidRDefault="00636EC8">
            <w:pPr>
              <w:spacing w:line="230" w:lineRule="auto"/>
            </w:pPr>
            <w:r>
              <w:rPr>
                <w:sz w:val="16"/>
                <w:szCs w:val="16"/>
              </w:rPr>
              <w:t>589</w:t>
            </w:r>
          </w:p>
        </w:tc>
        <w:tc>
          <w:tcPr>
            <w:tcW w:w="1279" w:type="dxa"/>
            <w:shd w:val="clear" w:color="auto" w:fill="FFFFFF"/>
            <w:tcMar>
              <w:top w:w="40" w:type="dxa"/>
              <w:left w:w="70" w:type="dxa"/>
              <w:bottom w:w="40" w:type="dxa"/>
              <w:right w:w="70" w:type="dxa"/>
            </w:tcMar>
          </w:tcPr>
          <w:p w14:paraId="406AE8EF" w14:textId="77777777" w:rsidR="00636EC8" w:rsidRDefault="00636EC8">
            <w:pPr>
              <w:spacing w:line="230" w:lineRule="auto"/>
            </w:pPr>
            <w:r>
              <w:rPr>
                <w:sz w:val="16"/>
                <w:szCs w:val="16"/>
              </w:rPr>
              <w:t>14.0</w:t>
            </w:r>
          </w:p>
        </w:tc>
        <w:tc>
          <w:tcPr>
            <w:tcW w:w="711" w:type="dxa"/>
            <w:shd w:val="clear" w:color="auto" w:fill="FFFFFF"/>
            <w:tcMar>
              <w:top w:w="40" w:type="dxa"/>
              <w:left w:w="70" w:type="dxa"/>
              <w:bottom w:w="40" w:type="dxa"/>
              <w:right w:w="70" w:type="dxa"/>
            </w:tcMar>
          </w:tcPr>
          <w:p w14:paraId="406AE8F0" w14:textId="77777777" w:rsidR="00636EC8" w:rsidRDefault="00636EC8">
            <w:pPr>
              <w:spacing w:line="230" w:lineRule="auto"/>
            </w:pPr>
            <w:r>
              <w:rPr>
                <w:sz w:val="16"/>
                <w:szCs w:val="16"/>
              </w:rPr>
              <w:t>2.11x</w:t>
            </w:r>
          </w:p>
        </w:tc>
        <w:tc>
          <w:tcPr>
            <w:tcW w:w="711" w:type="dxa"/>
            <w:shd w:val="clear" w:color="auto" w:fill="FFFFFF"/>
            <w:tcMar>
              <w:top w:w="40" w:type="dxa"/>
              <w:left w:w="70" w:type="dxa"/>
              <w:bottom w:w="40" w:type="dxa"/>
              <w:right w:w="70" w:type="dxa"/>
            </w:tcMar>
          </w:tcPr>
          <w:p w14:paraId="406AE8F1" w14:textId="77777777" w:rsidR="00636EC8" w:rsidRDefault="00636EC8">
            <w:pPr>
              <w:spacing w:line="230" w:lineRule="auto"/>
            </w:pPr>
            <w:r>
              <w:rPr>
                <w:sz w:val="16"/>
                <w:szCs w:val="16"/>
              </w:rPr>
              <w:t>2.10x</w:t>
            </w:r>
          </w:p>
        </w:tc>
      </w:tr>
      <w:tr w:rsidR="001B0082" w14:paraId="406AE8FB" w14:textId="77777777" w:rsidTr="008F301A">
        <w:trPr>
          <w:trHeight w:val="185"/>
        </w:trPr>
        <w:tc>
          <w:tcPr>
            <w:tcW w:w="1980" w:type="dxa"/>
            <w:shd w:val="clear" w:color="auto" w:fill="F2F5FB"/>
            <w:tcMar>
              <w:top w:w="40" w:type="dxa"/>
              <w:left w:w="70" w:type="dxa"/>
              <w:bottom w:w="40" w:type="dxa"/>
              <w:right w:w="70" w:type="dxa"/>
            </w:tcMar>
          </w:tcPr>
          <w:p w14:paraId="406AE8F4" w14:textId="77777777" w:rsidR="001B0082" w:rsidRDefault="001B0082" w:rsidP="001B0082">
            <w:pPr>
              <w:spacing w:line="230" w:lineRule="auto"/>
            </w:pPr>
            <w:proofErr w:type="spellStart"/>
            <w:r>
              <w:rPr>
                <w:sz w:val="16"/>
                <w:szCs w:val="16"/>
              </w:rPr>
              <w:t>Petershill</w:t>
            </w:r>
            <w:proofErr w:type="spellEnd"/>
            <w:r>
              <w:rPr>
                <w:sz w:val="16"/>
                <w:szCs w:val="16"/>
              </w:rPr>
              <w:t xml:space="preserve"> Private Equity</w:t>
            </w:r>
          </w:p>
        </w:tc>
        <w:tc>
          <w:tcPr>
            <w:tcW w:w="2268" w:type="dxa"/>
            <w:shd w:val="clear" w:color="auto" w:fill="F2F5FB"/>
          </w:tcPr>
          <w:p w14:paraId="218DEEE6" w14:textId="34979DCF" w:rsidR="001B0082" w:rsidRDefault="001B0082" w:rsidP="001B0082">
            <w:pPr>
              <w:spacing w:line="230" w:lineRule="auto"/>
              <w:rPr>
                <w:sz w:val="16"/>
                <w:szCs w:val="16"/>
              </w:rPr>
            </w:pPr>
            <w:r>
              <w:rPr>
                <w:sz w:val="16"/>
                <w:szCs w:val="16"/>
              </w:rPr>
              <w:t>Goldman Sachs Asset Management</w:t>
            </w:r>
          </w:p>
        </w:tc>
        <w:tc>
          <w:tcPr>
            <w:tcW w:w="1134" w:type="dxa"/>
            <w:shd w:val="clear" w:color="auto" w:fill="F2F5FB"/>
            <w:tcMar>
              <w:top w:w="40" w:type="dxa"/>
              <w:left w:w="70" w:type="dxa"/>
              <w:bottom w:w="40" w:type="dxa"/>
              <w:right w:w="70" w:type="dxa"/>
            </w:tcMar>
          </w:tcPr>
          <w:p w14:paraId="406AE8F5" w14:textId="71C1595B" w:rsidR="001B0082" w:rsidRDefault="001B0082" w:rsidP="001B0082">
            <w:pPr>
              <w:spacing w:line="230" w:lineRule="auto"/>
            </w:pPr>
            <w:r>
              <w:rPr>
                <w:sz w:val="16"/>
                <w:szCs w:val="16"/>
              </w:rPr>
              <w:t>2017</w:t>
            </w:r>
          </w:p>
        </w:tc>
        <w:tc>
          <w:tcPr>
            <w:tcW w:w="1276" w:type="dxa"/>
            <w:shd w:val="clear" w:color="auto" w:fill="F2F5FB"/>
            <w:tcMar>
              <w:top w:w="40" w:type="dxa"/>
              <w:left w:w="70" w:type="dxa"/>
              <w:bottom w:w="40" w:type="dxa"/>
              <w:right w:w="70" w:type="dxa"/>
            </w:tcMar>
          </w:tcPr>
          <w:p w14:paraId="406AE8F6" w14:textId="77777777" w:rsidR="001B0082" w:rsidRDefault="001B0082" w:rsidP="001B0082">
            <w:pPr>
              <w:spacing w:line="230" w:lineRule="auto"/>
            </w:pPr>
            <w:r>
              <w:rPr>
                <w:sz w:val="16"/>
                <w:szCs w:val="16"/>
              </w:rPr>
              <w:t>2,500</w:t>
            </w:r>
          </w:p>
        </w:tc>
        <w:tc>
          <w:tcPr>
            <w:tcW w:w="1279" w:type="dxa"/>
            <w:shd w:val="clear" w:color="auto" w:fill="F2F5FB"/>
            <w:tcMar>
              <w:top w:w="40" w:type="dxa"/>
              <w:left w:w="70" w:type="dxa"/>
              <w:bottom w:w="40" w:type="dxa"/>
              <w:right w:w="70" w:type="dxa"/>
            </w:tcMar>
          </w:tcPr>
          <w:p w14:paraId="406AE8F7" w14:textId="77777777" w:rsidR="001B0082" w:rsidRDefault="001B0082" w:rsidP="001B0082">
            <w:pPr>
              <w:spacing w:line="230" w:lineRule="auto"/>
            </w:pPr>
            <w:r>
              <w:rPr>
                <w:sz w:val="16"/>
                <w:szCs w:val="16"/>
              </w:rPr>
              <w:t>22.0</w:t>
            </w:r>
          </w:p>
        </w:tc>
        <w:tc>
          <w:tcPr>
            <w:tcW w:w="711" w:type="dxa"/>
            <w:shd w:val="clear" w:color="auto" w:fill="F2F5FB"/>
            <w:tcMar>
              <w:top w:w="40" w:type="dxa"/>
              <w:left w:w="70" w:type="dxa"/>
              <w:bottom w:w="40" w:type="dxa"/>
              <w:right w:w="70" w:type="dxa"/>
            </w:tcMar>
          </w:tcPr>
          <w:p w14:paraId="406AE8F8" w14:textId="77777777" w:rsidR="001B0082" w:rsidRDefault="001B0082" w:rsidP="001B0082">
            <w:pPr>
              <w:spacing w:line="230" w:lineRule="auto"/>
            </w:pPr>
            <w:r>
              <w:rPr>
                <w:sz w:val="16"/>
                <w:szCs w:val="16"/>
              </w:rPr>
              <w:t>2.54x</w:t>
            </w:r>
          </w:p>
        </w:tc>
        <w:tc>
          <w:tcPr>
            <w:tcW w:w="711" w:type="dxa"/>
            <w:shd w:val="clear" w:color="auto" w:fill="F2F5FB"/>
            <w:tcMar>
              <w:top w:w="40" w:type="dxa"/>
              <w:left w:w="70" w:type="dxa"/>
              <w:bottom w:w="40" w:type="dxa"/>
              <w:right w:w="70" w:type="dxa"/>
            </w:tcMar>
          </w:tcPr>
          <w:p w14:paraId="406AE8F9" w14:textId="77777777" w:rsidR="001B0082" w:rsidRDefault="001B0082" w:rsidP="001B0082">
            <w:pPr>
              <w:spacing w:line="230" w:lineRule="auto"/>
            </w:pPr>
            <w:r>
              <w:rPr>
                <w:sz w:val="16"/>
                <w:szCs w:val="16"/>
              </w:rPr>
              <w:t>0.62x</w:t>
            </w:r>
          </w:p>
        </w:tc>
      </w:tr>
      <w:tr w:rsidR="001B0082" w:rsidRPr="00577CC2" w14:paraId="406AE903" w14:textId="77777777" w:rsidTr="008F301A">
        <w:trPr>
          <w:trHeight w:val="185"/>
        </w:trPr>
        <w:tc>
          <w:tcPr>
            <w:tcW w:w="1980" w:type="dxa"/>
            <w:shd w:val="clear" w:color="auto" w:fill="FFFFFF"/>
            <w:tcMar>
              <w:top w:w="40" w:type="dxa"/>
              <w:left w:w="70" w:type="dxa"/>
              <w:bottom w:w="40" w:type="dxa"/>
              <w:right w:w="70" w:type="dxa"/>
            </w:tcMar>
          </w:tcPr>
          <w:p w14:paraId="406AE8FC" w14:textId="77777777" w:rsidR="001B0082" w:rsidRDefault="001B0082" w:rsidP="001B0082">
            <w:pPr>
              <w:spacing w:line="230" w:lineRule="auto"/>
            </w:pPr>
            <w:proofErr w:type="spellStart"/>
            <w:r>
              <w:rPr>
                <w:sz w:val="16"/>
                <w:szCs w:val="16"/>
              </w:rPr>
              <w:t>Petershill</w:t>
            </w:r>
            <w:proofErr w:type="spellEnd"/>
            <w:r>
              <w:rPr>
                <w:sz w:val="16"/>
                <w:szCs w:val="16"/>
              </w:rPr>
              <w:t xml:space="preserve"> IV</w:t>
            </w:r>
          </w:p>
        </w:tc>
        <w:tc>
          <w:tcPr>
            <w:tcW w:w="2268" w:type="dxa"/>
            <w:shd w:val="clear" w:color="auto" w:fill="FFFFFF"/>
          </w:tcPr>
          <w:p w14:paraId="600E69AD" w14:textId="118A8A20" w:rsidR="001B0082" w:rsidRDefault="001B0082" w:rsidP="001B0082">
            <w:pPr>
              <w:spacing w:line="230" w:lineRule="auto"/>
              <w:rPr>
                <w:sz w:val="16"/>
                <w:szCs w:val="16"/>
              </w:rPr>
            </w:pPr>
            <w:r>
              <w:rPr>
                <w:sz w:val="16"/>
                <w:szCs w:val="16"/>
              </w:rPr>
              <w:t>Goldman Sachs Asset Management</w:t>
            </w:r>
          </w:p>
        </w:tc>
        <w:tc>
          <w:tcPr>
            <w:tcW w:w="1134" w:type="dxa"/>
            <w:shd w:val="clear" w:color="auto" w:fill="FFFFFF"/>
            <w:tcMar>
              <w:top w:w="40" w:type="dxa"/>
              <w:left w:w="70" w:type="dxa"/>
              <w:bottom w:w="40" w:type="dxa"/>
              <w:right w:w="70" w:type="dxa"/>
            </w:tcMar>
          </w:tcPr>
          <w:p w14:paraId="406AE8FD" w14:textId="6B6A1758" w:rsidR="001B0082" w:rsidRDefault="001B0082" w:rsidP="001B0082">
            <w:pPr>
              <w:spacing w:line="230" w:lineRule="auto"/>
            </w:pPr>
            <w:r>
              <w:rPr>
                <w:sz w:val="16"/>
                <w:szCs w:val="16"/>
              </w:rPr>
              <w:t>2020</w:t>
            </w:r>
          </w:p>
        </w:tc>
        <w:tc>
          <w:tcPr>
            <w:tcW w:w="1276" w:type="dxa"/>
            <w:shd w:val="clear" w:color="auto" w:fill="FFFFFF"/>
            <w:tcMar>
              <w:top w:w="40" w:type="dxa"/>
              <w:left w:w="70" w:type="dxa"/>
              <w:bottom w:w="40" w:type="dxa"/>
              <w:right w:w="70" w:type="dxa"/>
            </w:tcMar>
          </w:tcPr>
          <w:p w14:paraId="406AE8FE" w14:textId="77777777" w:rsidR="001B0082" w:rsidRDefault="001B0082" w:rsidP="001B0082">
            <w:pPr>
              <w:spacing w:line="230" w:lineRule="auto"/>
            </w:pPr>
            <w:r>
              <w:rPr>
                <w:sz w:val="16"/>
                <w:szCs w:val="16"/>
              </w:rPr>
              <w:t>5,000</w:t>
            </w:r>
          </w:p>
        </w:tc>
        <w:tc>
          <w:tcPr>
            <w:tcW w:w="1279" w:type="dxa"/>
            <w:shd w:val="clear" w:color="auto" w:fill="FFFFFF"/>
            <w:tcMar>
              <w:top w:w="40" w:type="dxa"/>
              <w:left w:w="70" w:type="dxa"/>
              <w:bottom w:w="40" w:type="dxa"/>
              <w:right w:w="70" w:type="dxa"/>
            </w:tcMar>
          </w:tcPr>
          <w:p w14:paraId="406AE8FF" w14:textId="77777777" w:rsidR="001B0082" w:rsidRDefault="001B0082" w:rsidP="001B0082">
            <w:pPr>
              <w:spacing w:line="230" w:lineRule="auto"/>
            </w:pPr>
            <w:r>
              <w:rPr>
                <w:sz w:val="16"/>
                <w:szCs w:val="16"/>
              </w:rPr>
              <w:t>—</w:t>
            </w:r>
          </w:p>
        </w:tc>
        <w:tc>
          <w:tcPr>
            <w:tcW w:w="711" w:type="dxa"/>
            <w:shd w:val="clear" w:color="auto" w:fill="FFFFFF"/>
            <w:tcMar>
              <w:top w:w="40" w:type="dxa"/>
              <w:left w:w="70" w:type="dxa"/>
              <w:bottom w:w="40" w:type="dxa"/>
              <w:right w:w="70" w:type="dxa"/>
            </w:tcMar>
          </w:tcPr>
          <w:p w14:paraId="406AE900" w14:textId="77777777" w:rsidR="001B0082" w:rsidRDefault="001B0082" w:rsidP="001B0082">
            <w:pPr>
              <w:spacing w:line="230" w:lineRule="auto"/>
            </w:pPr>
            <w:r>
              <w:rPr>
                <w:sz w:val="16"/>
                <w:szCs w:val="16"/>
              </w:rPr>
              <w:t>—</w:t>
            </w:r>
          </w:p>
        </w:tc>
        <w:tc>
          <w:tcPr>
            <w:tcW w:w="711" w:type="dxa"/>
            <w:shd w:val="clear" w:color="auto" w:fill="FFFFFF"/>
            <w:tcMar>
              <w:top w:w="40" w:type="dxa"/>
              <w:left w:w="70" w:type="dxa"/>
              <w:bottom w:w="40" w:type="dxa"/>
              <w:right w:w="70" w:type="dxa"/>
            </w:tcMar>
          </w:tcPr>
          <w:p w14:paraId="406AE901" w14:textId="77777777" w:rsidR="001B0082" w:rsidRDefault="001B0082" w:rsidP="001B0082">
            <w:pPr>
              <w:spacing w:line="230" w:lineRule="auto"/>
            </w:pPr>
            <w:r>
              <w:rPr>
                <w:sz w:val="16"/>
                <w:szCs w:val="16"/>
              </w:rPr>
              <w:t>—</w:t>
            </w:r>
          </w:p>
        </w:tc>
      </w:tr>
      <w:tr w:rsidR="001B0082" w14:paraId="406AE90B" w14:textId="77777777" w:rsidTr="008F301A">
        <w:trPr>
          <w:trHeight w:val="363"/>
        </w:trPr>
        <w:tc>
          <w:tcPr>
            <w:tcW w:w="1980" w:type="dxa"/>
            <w:shd w:val="clear" w:color="auto" w:fill="F2F5FB"/>
            <w:tcMar>
              <w:top w:w="40" w:type="dxa"/>
              <w:left w:w="70" w:type="dxa"/>
              <w:bottom w:w="40" w:type="dxa"/>
              <w:right w:w="70" w:type="dxa"/>
            </w:tcMar>
          </w:tcPr>
          <w:p w14:paraId="406AE904" w14:textId="77777777" w:rsidR="001B0082" w:rsidRDefault="001B0082" w:rsidP="001B0082">
            <w:pPr>
              <w:spacing w:line="230" w:lineRule="auto"/>
            </w:pPr>
            <w:r>
              <w:rPr>
                <w:sz w:val="16"/>
                <w:szCs w:val="16"/>
              </w:rPr>
              <w:t>HPC Fund I</w:t>
            </w:r>
          </w:p>
        </w:tc>
        <w:tc>
          <w:tcPr>
            <w:tcW w:w="2268" w:type="dxa"/>
            <w:shd w:val="clear" w:color="auto" w:fill="F2F5FB"/>
          </w:tcPr>
          <w:p w14:paraId="6EDA93AD" w14:textId="7BC8B2BA" w:rsidR="001B0082" w:rsidRDefault="001B0082" w:rsidP="001B0082">
            <w:pPr>
              <w:spacing w:line="230" w:lineRule="auto"/>
              <w:rPr>
                <w:sz w:val="16"/>
                <w:szCs w:val="16"/>
              </w:rPr>
            </w:pPr>
            <w:r>
              <w:rPr>
                <w:sz w:val="16"/>
                <w:szCs w:val="16"/>
              </w:rPr>
              <w:t>Hunter Point Capital</w:t>
            </w:r>
          </w:p>
        </w:tc>
        <w:tc>
          <w:tcPr>
            <w:tcW w:w="1134" w:type="dxa"/>
            <w:shd w:val="clear" w:color="auto" w:fill="F2F5FB"/>
            <w:tcMar>
              <w:top w:w="40" w:type="dxa"/>
              <w:left w:w="70" w:type="dxa"/>
              <w:bottom w:w="40" w:type="dxa"/>
              <w:right w:w="70" w:type="dxa"/>
            </w:tcMar>
          </w:tcPr>
          <w:p w14:paraId="406AE905" w14:textId="163448D3" w:rsidR="001B0082" w:rsidRDefault="001B0082" w:rsidP="001B0082">
            <w:pPr>
              <w:spacing w:line="230" w:lineRule="auto"/>
            </w:pPr>
            <w:r>
              <w:rPr>
                <w:sz w:val="16"/>
                <w:szCs w:val="16"/>
              </w:rPr>
              <w:t>2021 (FC Jan 2025)</w:t>
            </w:r>
          </w:p>
        </w:tc>
        <w:tc>
          <w:tcPr>
            <w:tcW w:w="1276" w:type="dxa"/>
            <w:shd w:val="clear" w:color="auto" w:fill="F2F5FB"/>
            <w:tcMar>
              <w:top w:w="40" w:type="dxa"/>
              <w:left w:w="70" w:type="dxa"/>
              <w:bottom w:w="40" w:type="dxa"/>
              <w:right w:w="70" w:type="dxa"/>
            </w:tcMar>
          </w:tcPr>
          <w:p w14:paraId="406AE906" w14:textId="77777777" w:rsidR="001B0082" w:rsidRDefault="001B0082" w:rsidP="001B0082">
            <w:pPr>
              <w:spacing w:line="230" w:lineRule="auto"/>
            </w:pPr>
            <w:r>
              <w:rPr>
                <w:sz w:val="16"/>
                <w:szCs w:val="16"/>
              </w:rPr>
              <w:t>3,300 investable</w:t>
            </w:r>
          </w:p>
        </w:tc>
        <w:tc>
          <w:tcPr>
            <w:tcW w:w="1279" w:type="dxa"/>
            <w:shd w:val="clear" w:color="auto" w:fill="F2F5FB"/>
            <w:tcMar>
              <w:top w:w="40" w:type="dxa"/>
              <w:left w:w="70" w:type="dxa"/>
              <w:bottom w:w="40" w:type="dxa"/>
              <w:right w:w="70" w:type="dxa"/>
            </w:tcMar>
          </w:tcPr>
          <w:p w14:paraId="406AE907" w14:textId="77777777" w:rsidR="001B0082" w:rsidRDefault="001B0082" w:rsidP="001B0082">
            <w:pPr>
              <w:spacing w:line="230" w:lineRule="auto"/>
            </w:pPr>
            <w:r>
              <w:rPr>
                <w:sz w:val="16"/>
                <w:szCs w:val="16"/>
              </w:rPr>
              <w:t>16.6 (pro forma 11.8)</w:t>
            </w:r>
          </w:p>
        </w:tc>
        <w:tc>
          <w:tcPr>
            <w:tcW w:w="711" w:type="dxa"/>
            <w:shd w:val="clear" w:color="auto" w:fill="F2F5FB"/>
            <w:tcMar>
              <w:top w:w="40" w:type="dxa"/>
              <w:left w:w="70" w:type="dxa"/>
              <w:bottom w:w="40" w:type="dxa"/>
              <w:right w:w="70" w:type="dxa"/>
            </w:tcMar>
          </w:tcPr>
          <w:p w14:paraId="406AE908" w14:textId="77777777" w:rsidR="001B0082" w:rsidRDefault="001B0082" w:rsidP="001B0082">
            <w:pPr>
              <w:spacing w:line="230" w:lineRule="auto"/>
            </w:pPr>
            <w:r>
              <w:rPr>
                <w:sz w:val="16"/>
                <w:szCs w:val="16"/>
              </w:rPr>
              <w:t>1.2x</w:t>
            </w:r>
          </w:p>
        </w:tc>
        <w:tc>
          <w:tcPr>
            <w:tcW w:w="711" w:type="dxa"/>
            <w:shd w:val="clear" w:color="auto" w:fill="F2F5FB"/>
            <w:tcMar>
              <w:top w:w="40" w:type="dxa"/>
              <w:left w:w="70" w:type="dxa"/>
              <w:bottom w:w="40" w:type="dxa"/>
              <w:right w:w="70" w:type="dxa"/>
            </w:tcMar>
          </w:tcPr>
          <w:p w14:paraId="406AE909" w14:textId="77777777" w:rsidR="001B0082" w:rsidRDefault="001B0082" w:rsidP="001B0082">
            <w:pPr>
              <w:spacing w:line="230" w:lineRule="auto"/>
            </w:pPr>
            <w:r>
              <w:rPr>
                <w:sz w:val="16"/>
                <w:szCs w:val="16"/>
              </w:rPr>
              <w:t>0.2x</w:t>
            </w:r>
          </w:p>
        </w:tc>
      </w:tr>
      <w:tr w:rsidR="001B0082" w14:paraId="406AE913" w14:textId="77777777" w:rsidTr="008F301A">
        <w:trPr>
          <w:trHeight w:val="185"/>
        </w:trPr>
        <w:tc>
          <w:tcPr>
            <w:tcW w:w="1980" w:type="dxa"/>
            <w:shd w:val="clear" w:color="auto" w:fill="FFFFFF"/>
            <w:tcMar>
              <w:top w:w="40" w:type="dxa"/>
              <w:left w:w="70" w:type="dxa"/>
              <w:bottom w:w="40" w:type="dxa"/>
              <w:right w:w="70" w:type="dxa"/>
            </w:tcMar>
          </w:tcPr>
          <w:p w14:paraId="406AE90C" w14:textId="77777777" w:rsidR="001B0082" w:rsidRDefault="001B0082" w:rsidP="001B0082">
            <w:pPr>
              <w:spacing w:line="230" w:lineRule="auto"/>
            </w:pPr>
            <w:r>
              <w:rPr>
                <w:sz w:val="16"/>
                <w:szCs w:val="16"/>
              </w:rPr>
              <w:t>Blue Owl GP Stakes Odyssey</w:t>
            </w:r>
          </w:p>
        </w:tc>
        <w:tc>
          <w:tcPr>
            <w:tcW w:w="2268" w:type="dxa"/>
            <w:shd w:val="clear" w:color="auto" w:fill="FFFFFF"/>
          </w:tcPr>
          <w:p w14:paraId="36FA955C" w14:textId="407D0649" w:rsidR="001B0082" w:rsidRDefault="001B0082" w:rsidP="001B0082">
            <w:pPr>
              <w:spacing w:line="230" w:lineRule="auto"/>
              <w:rPr>
                <w:sz w:val="16"/>
                <w:szCs w:val="16"/>
              </w:rPr>
            </w:pPr>
            <w:r>
              <w:rPr>
                <w:sz w:val="16"/>
                <w:szCs w:val="16"/>
              </w:rPr>
              <w:t>Blue Owl</w:t>
            </w:r>
          </w:p>
        </w:tc>
        <w:tc>
          <w:tcPr>
            <w:tcW w:w="1134" w:type="dxa"/>
            <w:shd w:val="clear" w:color="auto" w:fill="FFFFFF"/>
            <w:tcMar>
              <w:top w:w="40" w:type="dxa"/>
              <w:left w:w="70" w:type="dxa"/>
              <w:bottom w:w="40" w:type="dxa"/>
              <w:right w:w="70" w:type="dxa"/>
            </w:tcMar>
          </w:tcPr>
          <w:p w14:paraId="406AE90D" w14:textId="49B81B42" w:rsidR="001B0082" w:rsidRDefault="001B0082" w:rsidP="001B0082">
            <w:pPr>
              <w:spacing w:line="230" w:lineRule="auto"/>
            </w:pPr>
            <w:r>
              <w:rPr>
                <w:sz w:val="16"/>
                <w:szCs w:val="16"/>
              </w:rPr>
              <w:t>2022</w:t>
            </w:r>
          </w:p>
        </w:tc>
        <w:tc>
          <w:tcPr>
            <w:tcW w:w="1276" w:type="dxa"/>
            <w:shd w:val="clear" w:color="auto" w:fill="FFFFFF"/>
            <w:tcMar>
              <w:top w:w="40" w:type="dxa"/>
              <w:left w:w="70" w:type="dxa"/>
              <w:bottom w:w="40" w:type="dxa"/>
              <w:right w:w="70" w:type="dxa"/>
            </w:tcMar>
          </w:tcPr>
          <w:p w14:paraId="406AE90E" w14:textId="77777777" w:rsidR="001B0082" w:rsidRDefault="001B0082" w:rsidP="001B0082">
            <w:pPr>
              <w:spacing w:line="230" w:lineRule="auto"/>
            </w:pPr>
            <w:r>
              <w:rPr>
                <w:sz w:val="16"/>
                <w:szCs w:val="16"/>
              </w:rPr>
              <w:t>—</w:t>
            </w:r>
          </w:p>
        </w:tc>
        <w:tc>
          <w:tcPr>
            <w:tcW w:w="1279" w:type="dxa"/>
            <w:shd w:val="clear" w:color="auto" w:fill="FFFFFF"/>
            <w:tcMar>
              <w:top w:w="40" w:type="dxa"/>
              <w:left w:w="70" w:type="dxa"/>
              <w:bottom w:w="40" w:type="dxa"/>
              <w:right w:w="70" w:type="dxa"/>
            </w:tcMar>
          </w:tcPr>
          <w:p w14:paraId="406AE90F" w14:textId="77777777" w:rsidR="001B0082" w:rsidRDefault="001B0082" w:rsidP="001B0082">
            <w:pPr>
              <w:spacing w:line="230" w:lineRule="auto"/>
            </w:pPr>
            <w:r>
              <w:rPr>
                <w:sz w:val="16"/>
                <w:szCs w:val="16"/>
              </w:rPr>
              <w:t>20.9</w:t>
            </w:r>
          </w:p>
        </w:tc>
        <w:tc>
          <w:tcPr>
            <w:tcW w:w="711" w:type="dxa"/>
            <w:shd w:val="clear" w:color="auto" w:fill="FFFFFF"/>
            <w:tcMar>
              <w:top w:w="40" w:type="dxa"/>
              <w:left w:w="70" w:type="dxa"/>
              <w:bottom w:w="40" w:type="dxa"/>
              <w:right w:w="70" w:type="dxa"/>
            </w:tcMar>
          </w:tcPr>
          <w:p w14:paraId="406AE910" w14:textId="77777777" w:rsidR="001B0082" w:rsidRDefault="001B0082" w:rsidP="001B0082">
            <w:pPr>
              <w:spacing w:line="230" w:lineRule="auto"/>
            </w:pPr>
            <w:r>
              <w:rPr>
                <w:sz w:val="16"/>
                <w:szCs w:val="16"/>
              </w:rPr>
              <w:t>1.63x</w:t>
            </w:r>
          </w:p>
        </w:tc>
        <w:tc>
          <w:tcPr>
            <w:tcW w:w="711" w:type="dxa"/>
            <w:shd w:val="clear" w:color="auto" w:fill="FFFFFF"/>
            <w:tcMar>
              <w:top w:w="40" w:type="dxa"/>
              <w:left w:w="70" w:type="dxa"/>
              <w:bottom w:w="40" w:type="dxa"/>
              <w:right w:w="70" w:type="dxa"/>
            </w:tcMar>
          </w:tcPr>
          <w:p w14:paraId="406AE911" w14:textId="77777777" w:rsidR="001B0082" w:rsidRDefault="001B0082" w:rsidP="001B0082">
            <w:pPr>
              <w:spacing w:line="230" w:lineRule="auto"/>
            </w:pPr>
            <w:r>
              <w:rPr>
                <w:sz w:val="16"/>
                <w:szCs w:val="16"/>
              </w:rPr>
              <w:t>0.35x</w:t>
            </w:r>
          </w:p>
        </w:tc>
      </w:tr>
      <w:tr w:rsidR="001B0082" w14:paraId="406AE91B" w14:textId="77777777" w:rsidTr="008F301A">
        <w:trPr>
          <w:trHeight w:val="178"/>
        </w:trPr>
        <w:tc>
          <w:tcPr>
            <w:tcW w:w="1980" w:type="dxa"/>
            <w:shd w:val="clear" w:color="auto" w:fill="F2F5FB"/>
            <w:tcMar>
              <w:top w:w="40" w:type="dxa"/>
              <w:left w:w="70" w:type="dxa"/>
              <w:bottom w:w="40" w:type="dxa"/>
              <w:right w:w="70" w:type="dxa"/>
            </w:tcMar>
          </w:tcPr>
          <w:p w14:paraId="406AE914" w14:textId="77777777" w:rsidR="001B0082" w:rsidRDefault="001B0082" w:rsidP="001B0082">
            <w:pPr>
              <w:spacing w:line="230" w:lineRule="auto"/>
            </w:pPr>
            <w:r>
              <w:rPr>
                <w:sz w:val="16"/>
                <w:szCs w:val="16"/>
              </w:rPr>
              <w:t>Azimut GP Stakes Fund I</w:t>
            </w:r>
          </w:p>
        </w:tc>
        <w:tc>
          <w:tcPr>
            <w:tcW w:w="2268" w:type="dxa"/>
            <w:shd w:val="clear" w:color="auto" w:fill="F2F5FB"/>
          </w:tcPr>
          <w:p w14:paraId="5FC94464" w14:textId="299F2533" w:rsidR="001B0082" w:rsidRDefault="006727E2" w:rsidP="001B0082">
            <w:pPr>
              <w:spacing w:line="230" w:lineRule="auto"/>
              <w:rPr>
                <w:sz w:val="16"/>
                <w:szCs w:val="16"/>
              </w:rPr>
            </w:pPr>
            <w:r w:rsidRPr="006727E2">
              <w:rPr>
                <w:sz w:val="16"/>
                <w:szCs w:val="16"/>
              </w:rPr>
              <w:t>Azimut Alternative Capital Partners</w:t>
            </w:r>
          </w:p>
        </w:tc>
        <w:tc>
          <w:tcPr>
            <w:tcW w:w="1134" w:type="dxa"/>
            <w:shd w:val="clear" w:color="auto" w:fill="F2F5FB"/>
            <w:tcMar>
              <w:top w:w="40" w:type="dxa"/>
              <w:left w:w="70" w:type="dxa"/>
              <w:bottom w:w="40" w:type="dxa"/>
              <w:right w:w="70" w:type="dxa"/>
            </w:tcMar>
          </w:tcPr>
          <w:p w14:paraId="406AE915" w14:textId="7B53FACB" w:rsidR="001B0082" w:rsidRDefault="001B0082" w:rsidP="001B0082">
            <w:pPr>
              <w:spacing w:line="230" w:lineRule="auto"/>
            </w:pPr>
            <w:r>
              <w:rPr>
                <w:sz w:val="16"/>
                <w:szCs w:val="16"/>
              </w:rPr>
              <w:t>2024</w:t>
            </w:r>
          </w:p>
        </w:tc>
        <w:tc>
          <w:tcPr>
            <w:tcW w:w="1276" w:type="dxa"/>
            <w:shd w:val="clear" w:color="auto" w:fill="F2F5FB"/>
            <w:tcMar>
              <w:top w:w="40" w:type="dxa"/>
              <w:left w:w="70" w:type="dxa"/>
              <w:bottom w:w="40" w:type="dxa"/>
              <w:right w:w="70" w:type="dxa"/>
            </w:tcMar>
          </w:tcPr>
          <w:p w14:paraId="406AE916" w14:textId="77777777" w:rsidR="001B0082" w:rsidRDefault="001B0082" w:rsidP="001B0082">
            <w:pPr>
              <w:spacing w:line="230" w:lineRule="auto"/>
            </w:pPr>
            <w:r>
              <w:rPr>
                <w:sz w:val="16"/>
                <w:szCs w:val="16"/>
              </w:rPr>
              <w:t>219</w:t>
            </w:r>
          </w:p>
        </w:tc>
        <w:tc>
          <w:tcPr>
            <w:tcW w:w="1279" w:type="dxa"/>
            <w:shd w:val="clear" w:color="auto" w:fill="F2F5FB"/>
            <w:tcMar>
              <w:top w:w="40" w:type="dxa"/>
              <w:left w:w="70" w:type="dxa"/>
              <w:bottom w:w="40" w:type="dxa"/>
              <w:right w:w="70" w:type="dxa"/>
            </w:tcMar>
          </w:tcPr>
          <w:p w14:paraId="406AE917" w14:textId="77777777" w:rsidR="001B0082" w:rsidRDefault="001B0082" w:rsidP="001B0082">
            <w:pPr>
              <w:spacing w:line="230" w:lineRule="auto"/>
            </w:pPr>
            <w:r>
              <w:rPr>
                <w:sz w:val="16"/>
                <w:szCs w:val="16"/>
              </w:rPr>
              <w:t>23.6</w:t>
            </w:r>
          </w:p>
        </w:tc>
        <w:tc>
          <w:tcPr>
            <w:tcW w:w="711" w:type="dxa"/>
            <w:shd w:val="clear" w:color="auto" w:fill="F2F5FB"/>
            <w:tcMar>
              <w:top w:w="40" w:type="dxa"/>
              <w:left w:w="70" w:type="dxa"/>
              <w:bottom w:w="40" w:type="dxa"/>
              <w:right w:w="70" w:type="dxa"/>
            </w:tcMar>
          </w:tcPr>
          <w:p w14:paraId="406AE918" w14:textId="77777777" w:rsidR="001B0082" w:rsidRDefault="001B0082" w:rsidP="001B0082">
            <w:pPr>
              <w:spacing w:line="230" w:lineRule="auto"/>
            </w:pPr>
            <w:r>
              <w:rPr>
                <w:sz w:val="16"/>
                <w:szCs w:val="16"/>
              </w:rPr>
              <w:t>—</w:t>
            </w:r>
          </w:p>
        </w:tc>
        <w:tc>
          <w:tcPr>
            <w:tcW w:w="711" w:type="dxa"/>
            <w:shd w:val="clear" w:color="auto" w:fill="F2F5FB"/>
            <w:tcMar>
              <w:top w:w="40" w:type="dxa"/>
              <w:left w:w="70" w:type="dxa"/>
              <w:bottom w:w="40" w:type="dxa"/>
              <w:right w:w="70" w:type="dxa"/>
            </w:tcMar>
          </w:tcPr>
          <w:p w14:paraId="406AE919" w14:textId="77777777" w:rsidR="001B0082" w:rsidRDefault="001B0082" w:rsidP="001B0082">
            <w:pPr>
              <w:spacing w:line="230" w:lineRule="auto"/>
            </w:pPr>
            <w:r>
              <w:rPr>
                <w:sz w:val="16"/>
                <w:szCs w:val="16"/>
              </w:rPr>
              <w:t>0.26x</w:t>
            </w:r>
          </w:p>
        </w:tc>
      </w:tr>
      <w:tr w:rsidR="001B0082" w14:paraId="406AE923" w14:textId="77777777" w:rsidTr="008F301A">
        <w:trPr>
          <w:trHeight w:val="178"/>
        </w:trPr>
        <w:tc>
          <w:tcPr>
            <w:tcW w:w="1980" w:type="dxa"/>
            <w:shd w:val="clear" w:color="auto" w:fill="FFFFFF"/>
            <w:tcMar>
              <w:top w:w="40" w:type="dxa"/>
              <w:left w:w="70" w:type="dxa"/>
              <w:bottom w:w="40" w:type="dxa"/>
              <w:right w:w="70" w:type="dxa"/>
            </w:tcMar>
          </w:tcPr>
          <w:p w14:paraId="406AE91C" w14:textId="77777777" w:rsidR="001B0082" w:rsidRDefault="001B0082" w:rsidP="001B0082">
            <w:pPr>
              <w:spacing w:line="230" w:lineRule="auto"/>
            </w:pPr>
            <w:r>
              <w:rPr>
                <w:sz w:val="16"/>
                <w:szCs w:val="16"/>
              </w:rPr>
              <w:t>Blue Owl GP Stakes VI</w:t>
            </w:r>
          </w:p>
        </w:tc>
        <w:tc>
          <w:tcPr>
            <w:tcW w:w="2268" w:type="dxa"/>
            <w:shd w:val="clear" w:color="auto" w:fill="FFFFFF"/>
          </w:tcPr>
          <w:p w14:paraId="08C15106" w14:textId="29F53EF5" w:rsidR="001B0082" w:rsidRDefault="001B0082" w:rsidP="001B0082">
            <w:pPr>
              <w:spacing w:line="230" w:lineRule="auto"/>
              <w:rPr>
                <w:sz w:val="16"/>
                <w:szCs w:val="16"/>
              </w:rPr>
            </w:pPr>
            <w:r>
              <w:rPr>
                <w:sz w:val="16"/>
                <w:szCs w:val="16"/>
              </w:rPr>
              <w:t>Blue Owl</w:t>
            </w:r>
          </w:p>
        </w:tc>
        <w:tc>
          <w:tcPr>
            <w:tcW w:w="1134" w:type="dxa"/>
            <w:shd w:val="clear" w:color="auto" w:fill="FFFFFF"/>
            <w:tcMar>
              <w:top w:w="40" w:type="dxa"/>
              <w:left w:w="70" w:type="dxa"/>
              <w:bottom w:w="40" w:type="dxa"/>
              <w:right w:w="70" w:type="dxa"/>
            </w:tcMar>
          </w:tcPr>
          <w:p w14:paraId="406AE91D" w14:textId="6AB3A4AC" w:rsidR="001B0082" w:rsidRDefault="001B0082" w:rsidP="001B0082">
            <w:pPr>
              <w:spacing w:line="230" w:lineRule="auto"/>
            </w:pPr>
            <w:r>
              <w:rPr>
                <w:sz w:val="16"/>
                <w:szCs w:val="16"/>
              </w:rPr>
              <w:t>2024</w:t>
            </w:r>
          </w:p>
        </w:tc>
        <w:tc>
          <w:tcPr>
            <w:tcW w:w="1276" w:type="dxa"/>
            <w:shd w:val="clear" w:color="auto" w:fill="FFFFFF"/>
            <w:tcMar>
              <w:top w:w="40" w:type="dxa"/>
              <w:left w:w="70" w:type="dxa"/>
              <w:bottom w:w="40" w:type="dxa"/>
              <w:right w:w="70" w:type="dxa"/>
            </w:tcMar>
          </w:tcPr>
          <w:p w14:paraId="406AE91E" w14:textId="77777777" w:rsidR="001B0082" w:rsidRDefault="001B0082" w:rsidP="001B0082">
            <w:pPr>
              <w:spacing w:line="230" w:lineRule="auto"/>
            </w:pPr>
            <w:r>
              <w:rPr>
                <w:sz w:val="16"/>
                <w:szCs w:val="16"/>
              </w:rPr>
              <w:t>9,098</w:t>
            </w:r>
          </w:p>
        </w:tc>
        <w:tc>
          <w:tcPr>
            <w:tcW w:w="1279" w:type="dxa"/>
            <w:shd w:val="clear" w:color="auto" w:fill="FFFFFF"/>
            <w:tcMar>
              <w:top w:w="40" w:type="dxa"/>
              <w:left w:w="70" w:type="dxa"/>
              <w:bottom w:w="40" w:type="dxa"/>
              <w:right w:w="70" w:type="dxa"/>
            </w:tcMar>
          </w:tcPr>
          <w:p w14:paraId="406AE91F" w14:textId="77777777" w:rsidR="001B0082" w:rsidRDefault="001B0082" w:rsidP="001B0082">
            <w:pPr>
              <w:spacing w:line="230" w:lineRule="auto"/>
            </w:pPr>
            <w:r>
              <w:rPr>
                <w:sz w:val="16"/>
                <w:szCs w:val="16"/>
              </w:rPr>
              <w:t>—</w:t>
            </w:r>
          </w:p>
        </w:tc>
        <w:tc>
          <w:tcPr>
            <w:tcW w:w="711" w:type="dxa"/>
            <w:shd w:val="clear" w:color="auto" w:fill="FFFFFF"/>
            <w:tcMar>
              <w:top w:w="40" w:type="dxa"/>
              <w:left w:w="70" w:type="dxa"/>
              <w:bottom w:w="40" w:type="dxa"/>
              <w:right w:w="70" w:type="dxa"/>
            </w:tcMar>
          </w:tcPr>
          <w:p w14:paraId="406AE920" w14:textId="77777777" w:rsidR="001B0082" w:rsidRDefault="001B0082" w:rsidP="001B0082">
            <w:pPr>
              <w:spacing w:line="230" w:lineRule="auto"/>
            </w:pPr>
            <w:r>
              <w:rPr>
                <w:sz w:val="16"/>
                <w:szCs w:val="16"/>
              </w:rPr>
              <w:t>0.70x</w:t>
            </w:r>
          </w:p>
        </w:tc>
        <w:tc>
          <w:tcPr>
            <w:tcW w:w="711" w:type="dxa"/>
            <w:shd w:val="clear" w:color="auto" w:fill="FFFFFF"/>
            <w:tcMar>
              <w:top w:w="40" w:type="dxa"/>
              <w:left w:w="70" w:type="dxa"/>
              <w:bottom w:w="40" w:type="dxa"/>
              <w:right w:w="70" w:type="dxa"/>
            </w:tcMar>
          </w:tcPr>
          <w:p w14:paraId="406AE921" w14:textId="77777777" w:rsidR="001B0082" w:rsidRDefault="001B0082" w:rsidP="001B0082">
            <w:pPr>
              <w:spacing w:line="230" w:lineRule="auto"/>
            </w:pPr>
            <w:r>
              <w:rPr>
                <w:sz w:val="16"/>
                <w:szCs w:val="16"/>
              </w:rPr>
              <w:t>0.01x</w:t>
            </w:r>
          </w:p>
        </w:tc>
      </w:tr>
    </w:tbl>
    <w:p w14:paraId="406AE924" w14:textId="77777777" w:rsidR="00F842B3" w:rsidRDefault="007F444F">
      <w:pPr>
        <w:spacing w:before="30" w:after="180"/>
      </w:pPr>
      <w:r>
        <w:rPr>
          <w:color w:val="5A6B7B"/>
          <w:sz w:val="14"/>
          <w:szCs w:val="14"/>
        </w:rPr>
        <w:t xml:space="preserve">Note: Vintages per </w:t>
      </w:r>
      <w:proofErr w:type="spellStart"/>
      <w:r>
        <w:rPr>
          <w:color w:val="5A6B7B"/>
          <w:sz w:val="14"/>
          <w:szCs w:val="14"/>
        </w:rPr>
        <w:t>PitchBook's</w:t>
      </w:r>
      <w:proofErr w:type="spellEnd"/>
      <w:r>
        <w:rPr>
          <w:color w:val="5A6B7B"/>
          <w:sz w:val="14"/>
          <w:szCs w:val="14"/>
        </w:rPr>
        <w:t xml:space="preserve"> first-investment convention (pitchbook.com/news/pitchbook-report-methodologies); FC = final close. GPS V and HPC rows are from manager reporting and are not directly comparable to </w:t>
      </w:r>
      <w:proofErr w:type="spellStart"/>
      <w:r>
        <w:rPr>
          <w:color w:val="5A6B7B"/>
          <w:sz w:val="14"/>
          <w:szCs w:val="14"/>
        </w:rPr>
        <w:t>PitchBook's</w:t>
      </w:r>
      <w:proofErr w:type="spellEnd"/>
      <w:r>
        <w:rPr>
          <w:color w:val="5A6B7B"/>
          <w:sz w:val="14"/>
          <w:szCs w:val="14"/>
        </w:rPr>
        <w:t xml:space="preserve"> lagged, self-reported figures; net bases also differ (GPS V net blended across fee classes; HPC net includes subscription-line effect, pro forma removes it). </w:t>
      </w:r>
      <w:proofErr w:type="spellStart"/>
      <w:r>
        <w:rPr>
          <w:color w:val="5A6B7B"/>
          <w:sz w:val="14"/>
          <w:szCs w:val="14"/>
        </w:rPr>
        <w:t>PitchBook</w:t>
      </w:r>
      <w:proofErr w:type="spellEnd"/>
      <w:r>
        <w:rPr>
          <w:color w:val="5A6B7B"/>
          <w:sz w:val="14"/>
          <w:szCs w:val="14"/>
        </w:rPr>
        <w:t xml:space="preserve"> universe: 33-fund GP-stakes screen (PitchBook_Search_Result_Columns_2026_08_14), of which the seven with reported performance are shown; the remainder (</w:t>
      </w:r>
      <w:proofErr w:type="spellStart"/>
      <w:r>
        <w:rPr>
          <w:color w:val="5A6B7B"/>
          <w:sz w:val="14"/>
          <w:szCs w:val="14"/>
        </w:rPr>
        <w:t>Alpinvest</w:t>
      </w:r>
      <w:proofErr w:type="spellEnd"/>
      <w:r>
        <w:rPr>
          <w:color w:val="5A6B7B"/>
          <w:sz w:val="14"/>
          <w:szCs w:val="14"/>
        </w:rPr>
        <w:t xml:space="preserve">, Armen, AXA IM Prime, CAZ, SNB, Trestle, Validus, and other Blue Owl vehicles) disclose no performance. Δ vs GPS V computed by </w:t>
      </w:r>
      <w:proofErr w:type="spellStart"/>
      <w:r>
        <w:rPr>
          <w:color w:val="5A6B7B"/>
          <w:sz w:val="14"/>
          <w:szCs w:val="14"/>
        </w:rPr>
        <w:t>Junson</w:t>
      </w:r>
      <w:proofErr w:type="spellEnd"/>
      <w:r>
        <w:rPr>
          <w:color w:val="5A6B7B"/>
          <w:sz w:val="14"/>
          <w:szCs w:val="14"/>
        </w:rPr>
        <w:t xml:space="preserve"> against the reference row (IRR in percentage points; TVPI/DPI in turns); HPC Δ uses its headline 16.6% net IRR — on the pro forma basis the gap narrows to +4.2pp. QoQ movers log starts next quarter against this archived baseline. Data as of: </w:t>
      </w:r>
      <w:proofErr w:type="spellStart"/>
      <w:r>
        <w:rPr>
          <w:color w:val="5A6B7B"/>
          <w:sz w:val="14"/>
          <w:szCs w:val="14"/>
        </w:rPr>
        <w:t>PitchBook</w:t>
      </w:r>
      <w:proofErr w:type="spellEnd"/>
      <w:r>
        <w:rPr>
          <w:color w:val="5A6B7B"/>
          <w:sz w:val="14"/>
          <w:szCs w:val="14"/>
        </w:rPr>
        <w:t xml:space="preserve"> rows — latest reported marks in the 14 Aug 2026 screen (lagged); GPS V — 31 Mar 2026 (manager letter, §8); HPC Fund I — 31 Dec 2025 (manager report). </w:t>
      </w:r>
      <w:proofErr w:type="spellStart"/>
      <w:r>
        <w:rPr>
          <w:color w:val="5A6B7B"/>
          <w:sz w:val="14"/>
          <w:szCs w:val="14"/>
        </w:rPr>
        <w:t>PitchBook</w:t>
      </w:r>
      <w:proofErr w:type="spellEnd"/>
      <w:r>
        <w:rPr>
          <w:color w:val="5A6B7B"/>
          <w:sz w:val="14"/>
          <w:szCs w:val="14"/>
        </w:rPr>
        <w:t xml:space="preserve"> quartile flags where assigned: </w:t>
      </w:r>
      <w:proofErr w:type="spellStart"/>
      <w:r>
        <w:rPr>
          <w:color w:val="5A6B7B"/>
          <w:sz w:val="14"/>
          <w:szCs w:val="14"/>
        </w:rPr>
        <w:t>Petershill</w:t>
      </w:r>
      <w:proofErr w:type="spellEnd"/>
      <w:r>
        <w:rPr>
          <w:color w:val="5A6B7B"/>
          <w:sz w:val="14"/>
          <w:szCs w:val="14"/>
        </w:rPr>
        <w:t xml:space="preserve"> PE top quartile; </w:t>
      </w:r>
      <w:proofErr w:type="spellStart"/>
      <w:r>
        <w:rPr>
          <w:color w:val="5A6B7B"/>
          <w:sz w:val="14"/>
          <w:szCs w:val="14"/>
        </w:rPr>
        <w:t>Petershill</w:t>
      </w:r>
      <w:proofErr w:type="spellEnd"/>
      <w:r>
        <w:rPr>
          <w:color w:val="5A6B7B"/>
          <w:sz w:val="14"/>
          <w:szCs w:val="14"/>
        </w:rPr>
        <w:t xml:space="preserve"> IV and Azimut I upper-mid. Sources: </w:t>
      </w:r>
      <w:proofErr w:type="spellStart"/>
      <w:r>
        <w:rPr>
          <w:color w:val="5A6B7B"/>
          <w:sz w:val="14"/>
          <w:szCs w:val="14"/>
        </w:rPr>
        <w:t>PitchBook</w:t>
      </w:r>
      <w:proofErr w:type="spellEnd"/>
      <w:r>
        <w:rPr>
          <w:color w:val="5A6B7B"/>
          <w:sz w:val="14"/>
          <w:szCs w:val="14"/>
        </w:rPr>
        <w:t>, dl. 14 Aug 2026; Blue Owl GPS V 1Q26 letter; HPC Fund I Q4 2025 Portfolio Summary (Feb 2026), p. 3.</w:t>
      </w:r>
    </w:p>
    <w:p w14:paraId="406AE925" w14:textId="77777777" w:rsidR="00F842B3" w:rsidRDefault="007F444F">
      <w:pPr>
        <w:pStyle w:val="Heading2"/>
        <w:spacing w:before="200" w:after="100"/>
      </w:pPr>
      <w:r>
        <w:t>9.2 Head-to-head QoQ: GPS V vs. HPC Fund I</w:t>
      </w:r>
    </w:p>
    <w:p w14:paraId="406AE926" w14:textId="1A3DE9BF" w:rsidR="00F842B3" w:rsidRDefault="007F444F">
      <w:pPr>
        <w:spacing w:after="140" w:line="264" w:lineRule="auto"/>
        <w:jc w:val="both"/>
      </w:pPr>
      <w:r>
        <w:t>HPC Fund I</w:t>
      </w:r>
      <w:r w:rsidR="00C509C0">
        <w:rPr>
          <w:rFonts w:hint="eastAsia"/>
        </w:rPr>
        <w:t xml:space="preserve"> (from Hunter Point Capital)</w:t>
      </w:r>
      <w:r>
        <w:t xml:space="preserve"> is the only competitor with a quarterly report in hand, and the two funds' latest quarters ran in opposite directions: HPC generated </w:t>
      </w:r>
      <w:r>
        <w:rPr>
          <w:b/>
          <w:bCs/>
        </w:rPr>
        <w:t>+US$144m (+4.5%)</w:t>
      </w:r>
      <w:r>
        <w:t xml:space="preserve"> of total value appreciation in 4Q25, while GPS V's GP portfolio fell </w:t>
      </w:r>
      <w:r>
        <w:rPr>
          <w:b/>
          <w:bCs/>
        </w:rPr>
        <w:t>-2.3%</w:t>
      </w:r>
      <w:r>
        <w:t xml:space="preserve"> in 1Q26 — note the one-quarter timing mismatch. The underlying stories differ too. HPC is still deploying (committed </w:t>
      </w:r>
      <w:r>
        <w:rPr>
          <w:b/>
          <w:bCs/>
        </w:rPr>
        <w:t xml:space="preserve">US$284m to </w:t>
      </w:r>
      <w:proofErr w:type="spellStart"/>
      <w:r>
        <w:rPr>
          <w:b/>
          <w:bCs/>
        </w:rPr>
        <w:t>Equitix</w:t>
      </w:r>
      <w:proofErr w:type="spellEnd"/>
      <w:r>
        <w:t xml:space="preserve"> in October, an </w:t>
      </w:r>
      <w:r>
        <w:rPr>
          <w:b/>
          <w:bCs/>
        </w:rPr>
        <w:t>US$87m</w:t>
      </w:r>
      <w:r>
        <w:t xml:space="preserve"> follow-on into L Catterton, </w:t>
      </w:r>
      <w:r>
        <w:rPr>
          <w:b/>
          <w:bCs/>
        </w:rPr>
        <w:t>+US$25m</w:t>
      </w:r>
      <w:r>
        <w:t xml:space="preserve"> into Bayview) and its marks are rising on young positions (L Catterton gross TVPI 1.99x→2.11x, </w:t>
      </w:r>
      <w:proofErr w:type="spellStart"/>
      <w:r>
        <w:t>Vistria</w:t>
      </w:r>
      <w:proofErr w:type="spellEnd"/>
      <w:r>
        <w:t xml:space="preserve"> 1.06x→1.11x), with SLR its problem position (0.89x→0.86x; gross IRR -14.8%). GPS V is later-cycle: fully committed, managing liquidity through securitization and tag-alongs, and absorbing public-mark volatility (CVC) and fundamentals markdowns (MBK). One shared risk thread: HPC eliminated all growth associated with Pretium's single-family-rental segment (~12% of Pretium's fee-related earnings) after the January 2026 policy proposal on institutional SFR ownership — policy risk hitting GP-stakes marks directly, a channel GPS V's real-assets exposure (28%) is not immune to. HPC also announced Fund II with a first close expected March 2026 — alongside GP Stakes VI's US$8.9bn, evidence that GP-stakes fundraising is clearing even in a weak PE tape.</w:t>
      </w:r>
    </w:p>
    <w:p w14:paraId="406AE927" w14:textId="77777777" w:rsidR="00F842B3" w:rsidRDefault="007F444F">
      <w:pPr>
        <w:keepNext/>
        <w:spacing w:before="60" w:after="30"/>
      </w:pPr>
      <w:r>
        <w:rPr>
          <w:b/>
          <w:bCs/>
          <w:color w:val="16283F"/>
        </w:rPr>
        <w:t>Exhibit 41: Blue Owl GPS V vs. HPC Fund I — latest reported quarters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50"/>
        <w:gridCol w:w="3350"/>
      </w:tblGrid>
      <w:tr w:rsidR="00F842B3" w14:paraId="406AE92B" w14:textId="77777777">
        <w:trPr>
          <w:tblHeader/>
        </w:trPr>
        <w:tc>
          <w:tcPr>
            <w:tcW w:w="2100" w:type="dxa"/>
            <w:shd w:val="clear" w:color="auto" w:fill="1F3B5B"/>
            <w:tcMar>
              <w:top w:w="40" w:type="dxa"/>
              <w:left w:w="70" w:type="dxa"/>
              <w:bottom w:w="40" w:type="dxa"/>
              <w:right w:w="70" w:type="dxa"/>
            </w:tcMar>
          </w:tcPr>
          <w:p w14:paraId="406AE928" w14:textId="77777777" w:rsidR="00F842B3" w:rsidRDefault="007F444F">
            <w:pPr>
              <w:spacing w:line="230" w:lineRule="auto"/>
            </w:pPr>
            <w:r>
              <w:rPr>
                <w:b/>
                <w:bCs/>
                <w:color w:val="FFFFFF"/>
                <w:sz w:val="16"/>
                <w:szCs w:val="16"/>
              </w:rPr>
              <w:t>Item</w:t>
            </w:r>
          </w:p>
        </w:tc>
        <w:tc>
          <w:tcPr>
            <w:tcW w:w="3350" w:type="dxa"/>
            <w:shd w:val="clear" w:color="auto" w:fill="1F3B5B"/>
            <w:tcMar>
              <w:top w:w="40" w:type="dxa"/>
              <w:left w:w="70" w:type="dxa"/>
              <w:bottom w:w="40" w:type="dxa"/>
              <w:right w:w="70" w:type="dxa"/>
            </w:tcMar>
          </w:tcPr>
          <w:p w14:paraId="406AE929" w14:textId="77777777" w:rsidR="00F842B3" w:rsidRDefault="007F444F">
            <w:pPr>
              <w:spacing w:line="230" w:lineRule="auto"/>
            </w:pPr>
            <w:r>
              <w:rPr>
                <w:b/>
                <w:bCs/>
                <w:color w:val="FFFFFF"/>
                <w:sz w:val="16"/>
                <w:szCs w:val="16"/>
              </w:rPr>
              <w:t>Blue Owl GP Stakes V (1Q26, 31 Mar 2026)</w:t>
            </w:r>
          </w:p>
        </w:tc>
        <w:tc>
          <w:tcPr>
            <w:tcW w:w="3350" w:type="dxa"/>
            <w:shd w:val="clear" w:color="auto" w:fill="1F3B5B"/>
            <w:tcMar>
              <w:top w:w="40" w:type="dxa"/>
              <w:left w:w="70" w:type="dxa"/>
              <w:bottom w:w="40" w:type="dxa"/>
              <w:right w:w="70" w:type="dxa"/>
            </w:tcMar>
          </w:tcPr>
          <w:p w14:paraId="406AE92A" w14:textId="77777777" w:rsidR="00F842B3" w:rsidRDefault="007F444F">
            <w:pPr>
              <w:spacing w:line="230" w:lineRule="auto"/>
            </w:pPr>
            <w:r>
              <w:rPr>
                <w:b/>
                <w:bCs/>
                <w:color w:val="FFFFFF"/>
                <w:sz w:val="16"/>
                <w:szCs w:val="16"/>
              </w:rPr>
              <w:t>HPC Fund I (4Q25, 31 Dec 2025)</w:t>
            </w:r>
          </w:p>
        </w:tc>
      </w:tr>
      <w:tr w:rsidR="00F842B3" w14:paraId="406AE92F" w14:textId="77777777">
        <w:tc>
          <w:tcPr>
            <w:tcW w:w="2100" w:type="dxa"/>
            <w:shd w:val="clear" w:color="auto" w:fill="FFFFFF"/>
            <w:tcMar>
              <w:top w:w="40" w:type="dxa"/>
              <w:left w:w="70" w:type="dxa"/>
              <w:bottom w:w="40" w:type="dxa"/>
              <w:right w:w="70" w:type="dxa"/>
            </w:tcMar>
          </w:tcPr>
          <w:p w14:paraId="406AE92C" w14:textId="77777777" w:rsidR="00F842B3" w:rsidRDefault="007F444F">
            <w:pPr>
              <w:spacing w:line="230" w:lineRule="auto"/>
            </w:pPr>
            <w:r>
              <w:rPr>
                <w:sz w:val="16"/>
                <w:szCs w:val="16"/>
              </w:rPr>
              <w:t>Effective vintage (first investment)</w:t>
            </w:r>
          </w:p>
        </w:tc>
        <w:tc>
          <w:tcPr>
            <w:tcW w:w="3350" w:type="dxa"/>
            <w:shd w:val="clear" w:color="auto" w:fill="FFFFFF"/>
            <w:tcMar>
              <w:top w:w="40" w:type="dxa"/>
              <w:left w:w="70" w:type="dxa"/>
              <w:bottom w:w="40" w:type="dxa"/>
              <w:right w:w="70" w:type="dxa"/>
            </w:tcMar>
          </w:tcPr>
          <w:p w14:paraId="406AE92D" w14:textId="77777777" w:rsidR="00F842B3" w:rsidRDefault="007F444F">
            <w:pPr>
              <w:spacing w:line="230" w:lineRule="auto"/>
            </w:pPr>
            <w:r>
              <w:rPr>
                <w:sz w:val="16"/>
                <w:szCs w:val="16"/>
              </w:rPr>
              <w:t>2020–21 (Veritas Nov-20; final close 2022)</w:t>
            </w:r>
          </w:p>
        </w:tc>
        <w:tc>
          <w:tcPr>
            <w:tcW w:w="3350" w:type="dxa"/>
            <w:shd w:val="clear" w:color="auto" w:fill="FFFFFF"/>
            <w:tcMar>
              <w:top w:w="40" w:type="dxa"/>
              <w:left w:w="70" w:type="dxa"/>
              <w:bottom w:w="40" w:type="dxa"/>
              <w:right w:w="70" w:type="dxa"/>
            </w:tcMar>
          </w:tcPr>
          <w:p w14:paraId="406AE92E" w14:textId="77777777" w:rsidR="00F842B3" w:rsidRDefault="007F444F">
            <w:pPr>
              <w:spacing w:line="230" w:lineRule="auto"/>
            </w:pPr>
            <w:r>
              <w:rPr>
                <w:sz w:val="16"/>
                <w:szCs w:val="16"/>
              </w:rPr>
              <w:t>2021 (</w:t>
            </w:r>
            <w:proofErr w:type="spellStart"/>
            <w:r>
              <w:rPr>
                <w:sz w:val="16"/>
                <w:szCs w:val="16"/>
              </w:rPr>
              <w:t>MidOcean</w:t>
            </w:r>
            <w:proofErr w:type="spellEnd"/>
            <w:r>
              <w:rPr>
                <w:sz w:val="16"/>
                <w:szCs w:val="16"/>
              </w:rPr>
              <w:t xml:space="preserve"> Oct-21; final close Jan 2025)</w:t>
            </w:r>
          </w:p>
        </w:tc>
      </w:tr>
      <w:tr w:rsidR="00F842B3" w14:paraId="406AE933" w14:textId="77777777">
        <w:tc>
          <w:tcPr>
            <w:tcW w:w="2100" w:type="dxa"/>
            <w:shd w:val="clear" w:color="auto" w:fill="F2F5FB"/>
            <w:tcMar>
              <w:top w:w="40" w:type="dxa"/>
              <w:left w:w="70" w:type="dxa"/>
              <w:bottom w:w="40" w:type="dxa"/>
              <w:right w:w="70" w:type="dxa"/>
            </w:tcMar>
          </w:tcPr>
          <w:p w14:paraId="406AE930" w14:textId="77777777" w:rsidR="00F842B3" w:rsidRDefault="007F444F">
            <w:pPr>
              <w:spacing w:line="230" w:lineRule="auto"/>
            </w:pPr>
            <w:r>
              <w:rPr>
                <w:sz w:val="16"/>
                <w:szCs w:val="16"/>
              </w:rPr>
              <w:t>Scale</w:t>
            </w:r>
          </w:p>
        </w:tc>
        <w:tc>
          <w:tcPr>
            <w:tcW w:w="3350" w:type="dxa"/>
            <w:shd w:val="clear" w:color="auto" w:fill="F2F5FB"/>
            <w:tcMar>
              <w:top w:w="40" w:type="dxa"/>
              <w:left w:w="70" w:type="dxa"/>
              <w:bottom w:w="40" w:type="dxa"/>
              <w:right w:w="70" w:type="dxa"/>
            </w:tcMar>
          </w:tcPr>
          <w:p w14:paraId="406AE931" w14:textId="77777777" w:rsidR="00F842B3" w:rsidRDefault="007F444F">
            <w:pPr>
              <w:spacing w:line="230" w:lineRule="auto"/>
            </w:pPr>
            <w:r>
              <w:rPr>
                <w:sz w:val="16"/>
                <w:szCs w:val="16"/>
              </w:rPr>
              <w:t>US$12.9bn commitments; 20 partner managers</w:t>
            </w:r>
          </w:p>
        </w:tc>
        <w:tc>
          <w:tcPr>
            <w:tcW w:w="3350" w:type="dxa"/>
            <w:shd w:val="clear" w:color="auto" w:fill="F2F5FB"/>
            <w:tcMar>
              <w:top w:w="40" w:type="dxa"/>
              <w:left w:w="70" w:type="dxa"/>
              <w:bottom w:w="40" w:type="dxa"/>
              <w:right w:w="70" w:type="dxa"/>
            </w:tcMar>
          </w:tcPr>
          <w:p w14:paraId="406AE932" w14:textId="77777777" w:rsidR="00F842B3" w:rsidRDefault="007F444F">
            <w:pPr>
              <w:spacing w:line="230" w:lineRule="auto"/>
            </w:pPr>
            <w:r>
              <w:rPr>
                <w:sz w:val="16"/>
                <w:szCs w:val="16"/>
              </w:rPr>
              <w:t>US$3.3bn investable; US$2.4bn committed across 11 GPs</w:t>
            </w:r>
          </w:p>
        </w:tc>
      </w:tr>
      <w:tr w:rsidR="00F842B3" w14:paraId="406AE937" w14:textId="77777777">
        <w:tc>
          <w:tcPr>
            <w:tcW w:w="2100" w:type="dxa"/>
            <w:shd w:val="clear" w:color="auto" w:fill="FFFFFF"/>
            <w:tcMar>
              <w:top w:w="40" w:type="dxa"/>
              <w:left w:w="70" w:type="dxa"/>
              <w:bottom w:w="40" w:type="dxa"/>
              <w:right w:w="70" w:type="dxa"/>
            </w:tcMar>
          </w:tcPr>
          <w:p w14:paraId="406AE934" w14:textId="77777777" w:rsidR="00F842B3" w:rsidRDefault="007F444F">
            <w:pPr>
              <w:spacing w:line="230" w:lineRule="auto"/>
            </w:pPr>
            <w:r>
              <w:rPr>
                <w:sz w:val="16"/>
                <w:szCs w:val="16"/>
              </w:rPr>
              <w:t>Quarterly value change</w:t>
            </w:r>
          </w:p>
        </w:tc>
        <w:tc>
          <w:tcPr>
            <w:tcW w:w="3350" w:type="dxa"/>
            <w:shd w:val="clear" w:color="auto" w:fill="FFFFFF"/>
            <w:tcMar>
              <w:top w:w="40" w:type="dxa"/>
              <w:left w:w="70" w:type="dxa"/>
              <w:bottom w:w="40" w:type="dxa"/>
              <w:right w:w="70" w:type="dxa"/>
            </w:tcMar>
          </w:tcPr>
          <w:p w14:paraId="406AE935" w14:textId="77777777" w:rsidR="00F842B3" w:rsidRDefault="007F444F">
            <w:pPr>
              <w:spacing w:line="230" w:lineRule="auto"/>
            </w:pPr>
            <w:r>
              <w:rPr>
                <w:sz w:val="16"/>
                <w:szCs w:val="16"/>
              </w:rPr>
              <w:t>-2.3% (GP portfolio)</w:t>
            </w:r>
          </w:p>
        </w:tc>
        <w:tc>
          <w:tcPr>
            <w:tcW w:w="3350" w:type="dxa"/>
            <w:shd w:val="clear" w:color="auto" w:fill="FFFFFF"/>
            <w:tcMar>
              <w:top w:w="40" w:type="dxa"/>
              <w:left w:w="70" w:type="dxa"/>
              <w:bottom w:w="40" w:type="dxa"/>
              <w:right w:w="70" w:type="dxa"/>
            </w:tcMar>
          </w:tcPr>
          <w:p w14:paraId="406AE936" w14:textId="77777777" w:rsidR="00F842B3" w:rsidRDefault="007F444F">
            <w:pPr>
              <w:spacing w:line="230" w:lineRule="auto"/>
            </w:pPr>
            <w:r>
              <w:rPr>
                <w:sz w:val="16"/>
                <w:szCs w:val="16"/>
              </w:rPr>
              <w:t>+4.5% (+US$144m on committed capital)</w:t>
            </w:r>
          </w:p>
        </w:tc>
      </w:tr>
      <w:tr w:rsidR="00F842B3" w:rsidRPr="00B55835" w14:paraId="406AE93B" w14:textId="77777777">
        <w:tc>
          <w:tcPr>
            <w:tcW w:w="2100" w:type="dxa"/>
            <w:shd w:val="clear" w:color="auto" w:fill="F2F5FB"/>
            <w:tcMar>
              <w:top w:w="40" w:type="dxa"/>
              <w:left w:w="70" w:type="dxa"/>
              <w:bottom w:w="40" w:type="dxa"/>
              <w:right w:w="70" w:type="dxa"/>
            </w:tcMar>
          </w:tcPr>
          <w:p w14:paraId="406AE938" w14:textId="77777777" w:rsidR="00F842B3" w:rsidRDefault="007F444F">
            <w:pPr>
              <w:spacing w:line="230" w:lineRule="auto"/>
            </w:pPr>
            <w:r>
              <w:rPr>
                <w:sz w:val="16"/>
                <w:szCs w:val="16"/>
              </w:rPr>
              <w:t>Net TVPI / DPI</w:t>
            </w:r>
          </w:p>
        </w:tc>
        <w:tc>
          <w:tcPr>
            <w:tcW w:w="3350" w:type="dxa"/>
            <w:shd w:val="clear" w:color="auto" w:fill="F2F5FB"/>
            <w:tcMar>
              <w:top w:w="40" w:type="dxa"/>
              <w:left w:w="70" w:type="dxa"/>
              <w:bottom w:w="40" w:type="dxa"/>
              <w:right w:w="70" w:type="dxa"/>
            </w:tcMar>
          </w:tcPr>
          <w:p w14:paraId="406AE939" w14:textId="77777777" w:rsidR="00F842B3" w:rsidRDefault="007F444F">
            <w:pPr>
              <w:spacing w:line="230" w:lineRule="auto"/>
            </w:pPr>
            <w:r>
              <w:rPr>
                <w:sz w:val="16"/>
                <w:szCs w:val="16"/>
              </w:rPr>
              <w:t>1.1x / 0.4x (net blended)</w:t>
            </w:r>
          </w:p>
        </w:tc>
        <w:tc>
          <w:tcPr>
            <w:tcW w:w="3350" w:type="dxa"/>
            <w:shd w:val="clear" w:color="auto" w:fill="F2F5FB"/>
            <w:tcMar>
              <w:top w:w="40" w:type="dxa"/>
              <w:left w:w="70" w:type="dxa"/>
              <w:bottom w:w="40" w:type="dxa"/>
              <w:right w:w="70" w:type="dxa"/>
            </w:tcMar>
          </w:tcPr>
          <w:p w14:paraId="406AE93A" w14:textId="77777777" w:rsidR="00F842B3" w:rsidRPr="00B55835" w:rsidRDefault="007F444F">
            <w:pPr>
              <w:spacing w:line="230" w:lineRule="auto"/>
              <w:rPr>
                <w:lang w:val="pt-BR"/>
              </w:rPr>
            </w:pPr>
            <w:r w:rsidRPr="00B55835">
              <w:rPr>
                <w:sz w:val="16"/>
                <w:szCs w:val="16"/>
                <w:lang w:val="pt-BR"/>
              </w:rPr>
              <w:t>1.2x / 0.2x (pro forma TVPI 1.20x)</w:t>
            </w:r>
          </w:p>
        </w:tc>
      </w:tr>
      <w:tr w:rsidR="00F842B3" w14:paraId="406AE93F" w14:textId="77777777">
        <w:tc>
          <w:tcPr>
            <w:tcW w:w="2100" w:type="dxa"/>
            <w:shd w:val="clear" w:color="auto" w:fill="FFFFFF"/>
            <w:tcMar>
              <w:top w:w="40" w:type="dxa"/>
              <w:left w:w="70" w:type="dxa"/>
              <w:bottom w:w="40" w:type="dxa"/>
              <w:right w:w="70" w:type="dxa"/>
            </w:tcMar>
          </w:tcPr>
          <w:p w14:paraId="406AE93C" w14:textId="77777777" w:rsidR="00F842B3" w:rsidRDefault="007F444F">
            <w:pPr>
              <w:spacing w:line="230" w:lineRule="auto"/>
            </w:pPr>
            <w:r>
              <w:rPr>
                <w:sz w:val="16"/>
                <w:szCs w:val="16"/>
              </w:rPr>
              <w:t>Net IRR</w:t>
            </w:r>
          </w:p>
        </w:tc>
        <w:tc>
          <w:tcPr>
            <w:tcW w:w="3350" w:type="dxa"/>
            <w:shd w:val="clear" w:color="auto" w:fill="FFFFFF"/>
            <w:tcMar>
              <w:top w:w="40" w:type="dxa"/>
              <w:left w:w="70" w:type="dxa"/>
              <w:bottom w:w="40" w:type="dxa"/>
              <w:right w:w="70" w:type="dxa"/>
            </w:tcMar>
          </w:tcPr>
          <w:p w14:paraId="406AE93D" w14:textId="77777777" w:rsidR="00F842B3" w:rsidRDefault="007F444F">
            <w:pPr>
              <w:spacing w:line="230" w:lineRule="auto"/>
            </w:pPr>
            <w:r>
              <w:rPr>
                <w:sz w:val="16"/>
                <w:szCs w:val="16"/>
              </w:rPr>
              <w:t>7.6% (excl. credit facility 7.1%)</w:t>
            </w:r>
          </w:p>
        </w:tc>
        <w:tc>
          <w:tcPr>
            <w:tcW w:w="3350" w:type="dxa"/>
            <w:shd w:val="clear" w:color="auto" w:fill="FFFFFF"/>
            <w:tcMar>
              <w:top w:w="40" w:type="dxa"/>
              <w:left w:w="70" w:type="dxa"/>
              <w:bottom w:w="40" w:type="dxa"/>
              <w:right w:w="70" w:type="dxa"/>
            </w:tcMar>
          </w:tcPr>
          <w:p w14:paraId="406AE93E" w14:textId="77777777" w:rsidR="00F842B3" w:rsidRDefault="007F444F">
            <w:pPr>
              <w:spacing w:line="230" w:lineRule="auto"/>
            </w:pPr>
            <w:r>
              <w:rPr>
                <w:sz w:val="16"/>
                <w:szCs w:val="16"/>
              </w:rPr>
              <w:t>16.6% (pro forma excl. sub line 11.8%)</w:t>
            </w:r>
          </w:p>
        </w:tc>
      </w:tr>
      <w:tr w:rsidR="00F842B3" w14:paraId="406AE943" w14:textId="77777777">
        <w:tc>
          <w:tcPr>
            <w:tcW w:w="2100" w:type="dxa"/>
            <w:shd w:val="clear" w:color="auto" w:fill="F2F5FB"/>
            <w:tcMar>
              <w:top w:w="40" w:type="dxa"/>
              <w:left w:w="70" w:type="dxa"/>
              <w:bottom w:w="40" w:type="dxa"/>
              <w:right w:w="70" w:type="dxa"/>
            </w:tcMar>
          </w:tcPr>
          <w:p w14:paraId="406AE940" w14:textId="77777777" w:rsidR="00F842B3" w:rsidRDefault="007F444F">
            <w:pPr>
              <w:spacing w:line="230" w:lineRule="auto"/>
            </w:pPr>
            <w:r>
              <w:rPr>
                <w:sz w:val="16"/>
                <w:szCs w:val="16"/>
              </w:rPr>
              <w:lastRenderedPageBreak/>
              <w:t>Quarter's activity</w:t>
            </w:r>
          </w:p>
        </w:tc>
        <w:tc>
          <w:tcPr>
            <w:tcW w:w="3350" w:type="dxa"/>
            <w:shd w:val="clear" w:color="auto" w:fill="F2F5FB"/>
            <w:tcMar>
              <w:top w:w="40" w:type="dxa"/>
              <w:left w:w="70" w:type="dxa"/>
              <w:bottom w:w="40" w:type="dxa"/>
              <w:right w:w="70" w:type="dxa"/>
            </w:tcMar>
          </w:tcPr>
          <w:p w14:paraId="406AE941" w14:textId="77777777" w:rsidR="00F842B3" w:rsidRDefault="007F444F">
            <w:pPr>
              <w:spacing w:line="230" w:lineRule="auto"/>
            </w:pPr>
            <w:r>
              <w:rPr>
                <w:sz w:val="16"/>
                <w:szCs w:val="16"/>
              </w:rPr>
              <w:t xml:space="preserve">CVC upsize ~€230m; Lead Edge partial sale via tag-along at premium; </w:t>
            </w:r>
            <w:proofErr w:type="spellStart"/>
            <w:r>
              <w:rPr>
                <w:sz w:val="16"/>
                <w:szCs w:val="16"/>
              </w:rPr>
              <w:t>WarwickRe</w:t>
            </w:r>
            <w:proofErr w:type="spellEnd"/>
            <w:r>
              <w:rPr>
                <w:sz w:val="16"/>
                <w:szCs w:val="16"/>
              </w:rPr>
              <w:t xml:space="preserve"> exit</w:t>
            </w:r>
          </w:p>
        </w:tc>
        <w:tc>
          <w:tcPr>
            <w:tcW w:w="3350" w:type="dxa"/>
            <w:shd w:val="clear" w:color="auto" w:fill="F2F5FB"/>
            <w:tcMar>
              <w:top w:w="40" w:type="dxa"/>
              <w:left w:w="70" w:type="dxa"/>
              <w:bottom w:w="40" w:type="dxa"/>
              <w:right w:w="70" w:type="dxa"/>
            </w:tcMar>
          </w:tcPr>
          <w:p w14:paraId="406AE942" w14:textId="77777777" w:rsidR="00F842B3" w:rsidRDefault="007F444F">
            <w:pPr>
              <w:spacing w:line="230" w:lineRule="auto"/>
            </w:pPr>
            <w:r>
              <w:rPr>
                <w:sz w:val="16"/>
                <w:szCs w:val="16"/>
              </w:rPr>
              <w:t xml:space="preserve">US$284m </w:t>
            </w:r>
            <w:proofErr w:type="spellStart"/>
            <w:r>
              <w:rPr>
                <w:sz w:val="16"/>
                <w:szCs w:val="16"/>
              </w:rPr>
              <w:t>Equitix</w:t>
            </w:r>
            <w:proofErr w:type="spellEnd"/>
            <w:r>
              <w:rPr>
                <w:sz w:val="16"/>
                <w:szCs w:val="16"/>
              </w:rPr>
              <w:t xml:space="preserve"> commitment; US$87m L Catterton follow-on; +US$25m Bayview</w:t>
            </w:r>
          </w:p>
        </w:tc>
      </w:tr>
      <w:tr w:rsidR="00F842B3" w14:paraId="406AE947" w14:textId="77777777">
        <w:tc>
          <w:tcPr>
            <w:tcW w:w="2100" w:type="dxa"/>
            <w:shd w:val="clear" w:color="auto" w:fill="FFFFFF"/>
            <w:tcMar>
              <w:top w:w="40" w:type="dxa"/>
              <w:left w:w="70" w:type="dxa"/>
              <w:bottom w:w="40" w:type="dxa"/>
              <w:right w:w="70" w:type="dxa"/>
            </w:tcMar>
          </w:tcPr>
          <w:p w14:paraId="406AE944" w14:textId="77777777" w:rsidR="00F842B3" w:rsidRDefault="007F444F">
            <w:pPr>
              <w:spacing w:line="230" w:lineRule="auto"/>
            </w:pPr>
            <w:r>
              <w:rPr>
                <w:sz w:val="16"/>
                <w:szCs w:val="16"/>
              </w:rPr>
              <w:t>QoQ movers (gross)</w:t>
            </w:r>
          </w:p>
        </w:tc>
        <w:tc>
          <w:tcPr>
            <w:tcW w:w="3350" w:type="dxa"/>
            <w:shd w:val="clear" w:color="auto" w:fill="FFFFFF"/>
            <w:tcMar>
              <w:top w:w="40" w:type="dxa"/>
              <w:left w:w="70" w:type="dxa"/>
              <w:bottom w:w="40" w:type="dxa"/>
              <w:right w:w="70" w:type="dxa"/>
            </w:tcMar>
          </w:tcPr>
          <w:p w14:paraId="406AE945" w14:textId="77777777" w:rsidR="00F842B3" w:rsidRDefault="007F444F">
            <w:pPr>
              <w:spacing w:line="230" w:lineRule="auto"/>
            </w:pPr>
            <w:r>
              <w:rPr>
                <w:sz w:val="16"/>
                <w:szCs w:val="16"/>
              </w:rPr>
              <w:t>Lead Edge +23.7%; CVC -19.2%; MBK -14.2%; PAI -1.9%</w:t>
            </w:r>
          </w:p>
        </w:tc>
        <w:tc>
          <w:tcPr>
            <w:tcW w:w="3350" w:type="dxa"/>
            <w:shd w:val="clear" w:color="auto" w:fill="FFFFFF"/>
            <w:tcMar>
              <w:top w:w="40" w:type="dxa"/>
              <w:left w:w="70" w:type="dxa"/>
              <w:bottom w:w="40" w:type="dxa"/>
              <w:right w:w="70" w:type="dxa"/>
            </w:tcMar>
          </w:tcPr>
          <w:p w14:paraId="406AE946" w14:textId="77777777" w:rsidR="00F842B3" w:rsidRDefault="007F444F">
            <w:pPr>
              <w:spacing w:line="230" w:lineRule="auto"/>
            </w:pPr>
            <w:r>
              <w:rPr>
                <w:sz w:val="16"/>
                <w:szCs w:val="16"/>
              </w:rPr>
              <w:t xml:space="preserve">L Catterton 1.99x→2.11x; </w:t>
            </w:r>
            <w:proofErr w:type="spellStart"/>
            <w:r>
              <w:rPr>
                <w:sz w:val="16"/>
                <w:szCs w:val="16"/>
              </w:rPr>
              <w:t>Vistria</w:t>
            </w:r>
            <w:proofErr w:type="spellEnd"/>
            <w:r>
              <w:rPr>
                <w:sz w:val="16"/>
                <w:szCs w:val="16"/>
              </w:rPr>
              <w:t xml:space="preserve"> 1.06x→1.11x; SLR 0.89x→0.86x; Pretium SFR growth eliminated</w:t>
            </w:r>
          </w:p>
        </w:tc>
      </w:tr>
      <w:tr w:rsidR="00F842B3" w14:paraId="406AE94B" w14:textId="77777777">
        <w:tc>
          <w:tcPr>
            <w:tcW w:w="2100" w:type="dxa"/>
            <w:shd w:val="clear" w:color="auto" w:fill="F2F5FB"/>
            <w:tcMar>
              <w:top w:w="40" w:type="dxa"/>
              <w:left w:w="70" w:type="dxa"/>
              <w:bottom w:w="40" w:type="dxa"/>
              <w:right w:w="70" w:type="dxa"/>
            </w:tcMar>
          </w:tcPr>
          <w:p w14:paraId="406AE948" w14:textId="77777777" w:rsidR="00F842B3" w:rsidRDefault="007F444F">
            <w:pPr>
              <w:spacing w:line="230" w:lineRule="auto"/>
            </w:pPr>
            <w:r>
              <w:rPr>
                <w:sz w:val="16"/>
                <w:szCs w:val="16"/>
              </w:rPr>
              <w:t>Balance-sheet tools</w:t>
            </w:r>
          </w:p>
        </w:tc>
        <w:tc>
          <w:tcPr>
            <w:tcW w:w="3350" w:type="dxa"/>
            <w:shd w:val="clear" w:color="auto" w:fill="F2F5FB"/>
            <w:tcMar>
              <w:top w:w="40" w:type="dxa"/>
              <w:left w:w="70" w:type="dxa"/>
              <w:bottom w:w="40" w:type="dxa"/>
              <w:right w:w="70" w:type="dxa"/>
            </w:tcMar>
          </w:tcPr>
          <w:p w14:paraId="406AE949" w14:textId="77777777" w:rsidR="00F842B3" w:rsidRDefault="007F444F">
            <w:pPr>
              <w:spacing w:line="230" w:lineRule="auto"/>
            </w:pPr>
            <w:r>
              <w:rPr>
                <w:sz w:val="16"/>
                <w:szCs w:val="16"/>
              </w:rPr>
              <w:t>US$1.3bn securitization; credit facility US$5,330.9m outstanding</w:t>
            </w:r>
          </w:p>
        </w:tc>
        <w:tc>
          <w:tcPr>
            <w:tcW w:w="3350" w:type="dxa"/>
            <w:shd w:val="clear" w:color="auto" w:fill="F2F5FB"/>
            <w:tcMar>
              <w:top w:w="40" w:type="dxa"/>
              <w:left w:w="70" w:type="dxa"/>
              <w:bottom w:w="40" w:type="dxa"/>
              <w:right w:w="70" w:type="dxa"/>
            </w:tcMar>
          </w:tcPr>
          <w:p w14:paraId="406AE94A" w14:textId="77777777" w:rsidR="00F842B3" w:rsidRDefault="007F444F">
            <w:pPr>
              <w:spacing w:line="230" w:lineRule="auto"/>
            </w:pPr>
            <w:r>
              <w:rPr>
                <w:sz w:val="16"/>
                <w:szCs w:val="16"/>
              </w:rPr>
              <w:t>Subscription line; deal-level securitizations; US$620m dry powder</w:t>
            </w:r>
          </w:p>
        </w:tc>
      </w:tr>
      <w:tr w:rsidR="00F842B3" w14:paraId="406AE94F" w14:textId="77777777">
        <w:tc>
          <w:tcPr>
            <w:tcW w:w="2100" w:type="dxa"/>
            <w:shd w:val="clear" w:color="auto" w:fill="FFFFFF"/>
            <w:tcMar>
              <w:top w:w="40" w:type="dxa"/>
              <w:left w:w="70" w:type="dxa"/>
              <w:bottom w:w="40" w:type="dxa"/>
              <w:right w:w="70" w:type="dxa"/>
            </w:tcMar>
          </w:tcPr>
          <w:p w14:paraId="406AE94C" w14:textId="77777777" w:rsidR="00F842B3" w:rsidRDefault="007F444F">
            <w:pPr>
              <w:spacing w:line="230" w:lineRule="auto"/>
            </w:pPr>
            <w:r>
              <w:rPr>
                <w:sz w:val="16"/>
                <w:szCs w:val="16"/>
              </w:rPr>
              <w:t>Successor fund</w:t>
            </w:r>
          </w:p>
        </w:tc>
        <w:tc>
          <w:tcPr>
            <w:tcW w:w="3350" w:type="dxa"/>
            <w:shd w:val="clear" w:color="auto" w:fill="FFFFFF"/>
            <w:tcMar>
              <w:top w:w="40" w:type="dxa"/>
              <w:left w:w="70" w:type="dxa"/>
              <w:bottom w:w="40" w:type="dxa"/>
              <w:right w:w="70" w:type="dxa"/>
            </w:tcMar>
          </w:tcPr>
          <w:p w14:paraId="406AE94D" w14:textId="77777777" w:rsidR="00F842B3" w:rsidRDefault="007F444F">
            <w:pPr>
              <w:spacing w:line="230" w:lineRule="auto"/>
            </w:pPr>
            <w:r>
              <w:rPr>
                <w:sz w:val="16"/>
                <w:szCs w:val="16"/>
              </w:rPr>
              <w:t>GP Stakes VI: ~US$8.9bn closed (31 Mar 2026)</w:t>
            </w:r>
          </w:p>
        </w:tc>
        <w:tc>
          <w:tcPr>
            <w:tcW w:w="3350" w:type="dxa"/>
            <w:shd w:val="clear" w:color="auto" w:fill="FFFFFF"/>
            <w:tcMar>
              <w:top w:w="40" w:type="dxa"/>
              <w:left w:w="70" w:type="dxa"/>
              <w:bottom w:w="40" w:type="dxa"/>
              <w:right w:w="70" w:type="dxa"/>
            </w:tcMar>
          </w:tcPr>
          <w:p w14:paraId="406AE94E" w14:textId="77777777" w:rsidR="00F842B3" w:rsidRDefault="007F444F">
            <w:pPr>
              <w:spacing w:line="230" w:lineRule="auto"/>
            </w:pPr>
            <w:r>
              <w:rPr>
                <w:sz w:val="16"/>
                <w:szCs w:val="16"/>
              </w:rPr>
              <w:t>Fund II announced; first close expected Mar 2026</w:t>
            </w:r>
          </w:p>
        </w:tc>
      </w:tr>
    </w:tbl>
    <w:p w14:paraId="406AE950" w14:textId="77777777" w:rsidR="00F842B3" w:rsidRDefault="007F444F">
      <w:pPr>
        <w:spacing w:before="30" w:after="180"/>
      </w:pPr>
      <w:r>
        <w:rPr>
          <w:color w:val="5A6B7B"/>
          <w:sz w:val="14"/>
          <w:szCs w:val="14"/>
        </w:rPr>
        <w:t>Note: Quarters differ by one period (GPS V reports to 31 Mar 2026; HPC to 31 Dec 2025) — comparisons are latest-available, not same-quarter. HPC per-investment figures are gross of fund-level fees. Sources: Blue Owl, GPS V 1Q26 letter pp. 4–8; HPC Fund I Q4 2025 Portfolio Summary (Feb 2026), pp. 3–6, 10.</w:t>
      </w:r>
    </w:p>
    <w:p w14:paraId="406AE951" w14:textId="77777777" w:rsidR="00F842B3" w:rsidRDefault="007F444F">
      <w:pPr>
        <w:pStyle w:val="Heading2"/>
        <w:spacing w:before="200" w:after="100"/>
      </w:pPr>
      <w:r>
        <w:t>9.3 DPI benchmark: where the holdings sit on the buyout distribution curve</w:t>
      </w:r>
    </w:p>
    <w:p w14:paraId="406AE952" w14:textId="77777777" w:rsidR="00F842B3" w:rsidRDefault="007F444F">
      <w:pPr>
        <w:spacing w:after="140" w:line="264" w:lineRule="auto"/>
        <w:jc w:val="both"/>
      </w:pPr>
      <w:r>
        <w:t xml:space="preserve">Blue Owl's own market commentary supplies the benchmark: MSCI Burgiss DPI quartile paths for the 2010, 2016, 2019 and 2021 buyout vintages (data as of 31 Dec 2025). The four cohorts are market-wide buyout-fund universes — not Blue Owl funds — chosen to show that dispersion between quartiles now exceeds dispersion between vintages, and that the 2021 cohort is depressed across all quartiles outside the top 5%. Placing the holdings on those curves at their first-investment fund ages: </w:t>
      </w:r>
      <w:r>
        <w:rPr>
          <w:b/>
          <w:bCs/>
        </w:rPr>
        <w:t>GPS V (age ~5, DPI 0.4x)</w:t>
      </w:r>
      <w:r>
        <w:t xml:space="preserve"> sits at the </w:t>
      </w:r>
      <w:r>
        <w:rPr>
          <w:b/>
          <w:bCs/>
        </w:rPr>
        <w:t>top quartile of the 2021 cohort</w:t>
      </w:r>
      <w:r>
        <w:t xml:space="preserve"> (0.4x at year 5) and between median (0.35x) and top quartile (0.5x) of the 2019 cohort — a solid relative DPI, with the §8 caveat that 36.2% of its gross distributions are securitization-engineered rather than exit-driven. </w:t>
      </w:r>
      <w:r>
        <w:rPr>
          <w:b/>
          <w:bCs/>
        </w:rPr>
        <w:t>HPC Fund I (age ~4, DPI 0.2x)</w:t>
      </w:r>
      <w:r>
        <w:t xml:space="preserve"> sits between the median (0.15x) and top quartile (0.25x) of the 2021 cohort at year 4. The comparability caveat runs the other way, too: GP-stakes economics front-load cash (management-fee share of GP earnings) relative to buyout funds, so a same-age DPI comparison flatters GP-stakes structurally.</w:t>
      </w:r>
    </w:p>
    <w:p w14:paraId="406AE953" w14:textId="77777777" w:rsidR="00F842B3" w:rsidRDefault="007F444F">
      <w:pPr>
        <w:keepNext/>
        <w:spacing w:before="60" w:after="30"/>
      </w:pPr>
      <w:r>
        <w:rPr>
          <w:b/>
          <w:bCs/>
          <w:color w:val="16283F"/>
        </w:rPr>
        <w:t xml:space="preserve">Exhibit 42: DPI performance trends — buyout vintages, with </w:t>
      </w:r>
      <w:proofErr w:type="spellStart"/>
      <w:r>
        <w:rPr>
          <w:b/>
          <w:bCs/>
          <w:color w:val="16283F"/>
        </w:rPr>
        <w:t>Junson</w:t>
      </w:r>
      <w:proofErr w:type="spellEnd"/>
      <w:r>
        <w:rPr>
          <w:b/>
          <w:bCs/>
          <w:color w:val="16283F"/>
        </w:rPr>
        <w:t>-tracked funds marked</w:t>
      </w:r>
    </w:p>
    <w:p w14:paraId="406AE954" w14:textId="77777777" w:rsidR="00F842B3" w:rsidRDefault="007F444F">
      <w:r>
        <w:rPr>
          <w:noProof/>
        </w:rPr>
        <w:drawing>
          <wp:inline distT="0" distB="0" distL="0" distR="0" wp14:anchorId="406AE9B3" wp14:editId="406AE9B4">
            <wp:extent cx="6143625" cy="4438650"/>
            <wp:effectExtent l="0" t="0" r="0" b="0"/>
            <wp:docPr id="357062408" name="Picture 357062408">
              <a:extLst xmlns:a="http://schemas.openxmlformats.org/drawingml/2006/main">
                <a:ext uri="{FF2B5EF4-FFF2-40B4-BE49-F238E27FC236}">
                  <a16:creationId xmlns:a16="http://schemas.microsoft.com/office/drawing/2014/main" id="{9D4DA50D-A32C-4A60-9F0D-84D0A3F7A1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43625" cy="4438650"/>
                    </a:xfrm>
                    <a:prstGeom prst="rect">
                      <a:avLst/>
                    </a:prstGeom>
                  </pic:spPr>
                </pic:pic>
              </a:graphicData>
            </a:graphic>
          </wp:inline>
        </w:drawing>
      </w:r>
    </w:p>
    <w:p w14:paraId="406AE955" w14:textId="77777777" w:rsidR="00F842B3" w:rsidRDefault="007F444F">
      <w:pPr>
        <w:spacing w:before="30" w:after="180"/>
      </w:pPr>
      <w:r>
        <w:rPr>
          <w:color w:val="5A6B7B"/>
          <w:sz w:val="14"/>
          <w:szCs w:val="14"/>
        </w:rPr>
        <w:t>Note: Quartile paths digitised as approximations from the source chart (Blue Owl, GPS V 1Q26 letter, Figure 1, p. 3; underlying data MSCI Burgiss, as of 31 Dec 2025); markers placed at first-investment-basis fund ages (GPS V ~5 yrs, DPI 0.4x, shown on the 2019 and 2021 panels; HPC Fund I ~4 yrs, DPI 0.2x, 2021 panel). Benchmark cohorts are buyout funds; GP-stakes cash-flow mechanics differ — see text.</w:t>
      </w:r>
    </w:p>
    <w:p w14:paraId="406AE956" w14:textId="77777777" w:rsidR="00F842B3" w:rsidRDefault="007F444F">
      <w:pPr>
        <w:pStyle w:val="Heading2"/>
        <w:spacing w:before="200" w:after="100"/>
      </w:pPr>
      <w:r>
        <w:t>9.4 Relative momentum and percentile trajectory</w:t>
      </w:r>
    </w:p>
    <w:p w14:paraId="406AE957" w14:textId="77777777" w:rsidR="00F842B3" w:rsidRDefault="007F444F">
      <w:pPr>
        <w:spacing w:after="140" w:line="264" w:lineRule="auto"/>
        <w:jc w:val="both"/>
      </w:pPr>
      <w:r>
        <w:t xml:space="preserve">This is the first quarter recorded in the competitor ledger, so — as in the Private Credit report's inaugural run — the momentum exhibits show levels against the reporting-peer median rather than quarter-on-quarter change, and the trajectory charts carry a single baseline point; both become genuine time series from next quarter by appending to the ledger rather than recomputing. </w:t>
      </w:r>
      <w:r>
        <w:lastRenderedPageBreak/>
        <w:t xml:space="preserve">One momentum reading does already exist: GPS V is the only fund in the set with two net observations, and its own QoQ is negative — net blended IRR </w:t>
      </w:r>
      <w:r>
        <w:rPr>
          <w:b/>
          <w:bCs/>
        </w:rPr>
        <w:t>-3.1pp</w:t>
      </w:r>
      <w:r>
        <w:t xml:space="preserve"> (10.7%→7.6%) and TVPI </w:t>
      </w:r>
      <w:r>
        <w:rPr>
          <w:b/>
          <w:bCs/>
        </w:rPr>
        <w:t>-0.1x</w:t>
      </w:r>
      <w:r>
        <w:t xml:space="preserve"> (1.2x→1.1x) against 4Q25. On levels, GPS V trails the reporting-peer medians on IRR (</w:t>
      </w:r>
      <w:r>
        <w:rPr>
          <w:b/>
          <w:bCs/>
        </w:rPr>
        <w:t>7.6%</w:t>
      </w:r>
      <w:r>
        <w:t xml:space="preserve"> vs </w:t>
      </w:r>
      <w:r>
        <w:rPr>
          <w:b/>
          <w:bCs/>
        </w:rPr>
        <w:t>20.9%</w:t>
      </w:r>
      <w:r>
        <w:t>) and TVPI (</w:t>
      </w:r>
      <w:r>
        <w:rPr>
          <w:b/>
          <w:bCs/>
        </w:rPr>
        <w:t>1.1x</w:t>
      </w:r>
      <w:r>
        <w:t xml:space="preserve"> vs </w:t>
      </w:r>
      <w:r>
        <w:rPr>
          <w:b/>
          <w:bCs/>
        </w:rPr>
        <w:t>1.63x</w:t>
      </w:r>
      <w:r>
        <w:t>) but leads on DPI (</w:t>
      </w:r>
      <w:r>
        <w:rPr>
          <w:b/>
          <w:bCs/>
        </w:rPr>
        <w:t>0.4x</w:t>
      </w:r>
      <w:r>
        <w:t xml:space="preserve"> vs </w:t>
      </w:r>
      <w:r>
        <w:rPr>
          <w:b/>
          <w:bCs/>
        </w:rPr>
        <w:t>0.36x</w:t>
      </w:r>
      <w:r>
        <w:t xml:space="preserve">); its percentile ranks are </w:t>
      </w:r>
      <w:r>
        <w:rPr>
          <w:b/>
          <w:bCs/>
        </w:rPr>
        <w:t>17th</w:t>
      </w:r>
      <w:r>
        <w:t xml:space="preserve"> on IRR, </w:t>
      </w:r>
      <w:r>
        <w:rPr>
          <w:b/>
          <w:bCs/>
        </w:rPr>
        <w:t>33rd</w:t>
      </w:r>
      <w:r>
        <w:t xml:space="preserve"> on TVPI and </w:t>
      </w:r>
      <w:r>
        <w:rPr>
          <w:b/>
          <w:bCs/>
        </w:rPr>
        <w:t>71st</w:t>
      </w:r>
      <w:r>
        <w:t xml:space="preserve"> on DPI — the same shape as §9.1 and §9.3: weak on marked performance, strong on realized cash. HPC Fund I baselines at the </w:t>
      </w:r>
      <w:r>
        <w:rPr>
          <w:b/>
          <w:bCs/>
        </w:rPr>
        <w:t>50th</w:t>
      </w:r>
      <w:r>
        <w:t xml:space="preserve"> percentile on both IRR and TVPI and </w:t>
      </w:r>
      <w:r>
        <w:rPr>
          <w:b/>
          <w:bCs/>
        </w:rPr>
        <w:t>14th</w:t>
      </w:r>
      <w:r>
        <w:t xml:space="preserve"> on DPI.</w:t>
      </w: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95E" w14:textId="77777777">
        <w:tc>
          <w:tcPr>
            <w:tcW w:w="4650" w:type="dxa"/>
            <w:tcMar>
              <w:top w:w="30" w:type="dxa"/>
              <w:left w:w="50" w:type="dxa"/>
              <w:bottom w:w="30" w:type="dxa"/>
              <w:right w:w="50" w:type="dxa"/>
            </w:tcMar>
          </w:tcPr>
          <w:p w14:paraId="406AE958" w14:textId="77777777" w:rsidR="00F842B3" w:rsidRDefault="007F444F">
            <w:pPr>
              <w:keepNext/>
              <w:spacing w:before="60" w:after="30"/>
            </w:pPr>
            <w:r>
              <w:rPr>
                <w:b/>
                <w:bCs/>
                <w:color w:val="16283F"/>
              </w:rPr>
              <w:t>Exhibit 43: Baseline levels: net IRR vs reporting-peer median</w:t>
            </w:r>
          </w:p>
          <w:p w14:paraId="406AE959" w14:textId="77777777" w:rsidR="00F842B3" w:rsidRDefault="007F444F">
            <w:r>
              <w:rPr>
                <w:noProof/>
              </w:rPr>
              <w:drawing>
                <wp:inline distT="0" distB="0" distL="0" distR="0" wp14:anchorId="406AE9B5" wp14:editId="406AE9B6">
                  <wp:extent cx="2857500" cy="2228850"/>
                  <wp:effectExtent l="0" t="0" r="0" b="0"/>
                  <wp:docPr id="1038301752" name="Picture 1038301752">
                    <a:extLst xmlns:a="http://schemas.openxmlformats.org/drawingml/2006/main">
                      <a:ext uri="{FF2B5EF4-FFF2-40B4-BE49-F238E27FC236}">
                        <a16:creationId xmlns:a16="http://schemas.microsoft.com/office/drawing/2014/main" id="{B10988BE-ACDE-480F-BA9D-5D3F958371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857500" cy="2228850"/>
                          </a:xfrm>
                          <a:prstGeom prst="rect">
                            <a:avLst/>
                          </a:prstGeom>
                        </pic:spPr>
                      </pic:pic>
                    </a:graphicData>
                  </a:graphic>
                </wp:inline>
              </w:drawing>
            </w:r>
          </w:p>
          <w:p w14:paraId="406AE95A" w14:textId="77777777" w:rsidR="00F842B3" w:rsidRDefault="007F444F">
            <w:pPr>
              <w:spacing w:before="30" w:after="40"/>
            </w:pPr>
            <w:r>
              <w:rPr>
                <w:color w:val="5A6B7B"/>
                <w:sz w:val="14"/>
                <w:szCs w:val="14"/>
              </w:rPr>
              <w:t xml:space="preserve">Note: Peer median across the five </w:t>
            </w:r>
            <w:proofErr w:type="spellStart"/>
            <w:r>
              <w:rPr>
                <w:color w:val="5A6B7B"/>
                <w:sz w:val="14"/>
                <w:szCs w:val="14"/>
              </w:rPr>
              <w:t>PitchBook</w:t>
            </w:r>
            <w:proofErr w:type="spellEnd"/>
            <w:r>
              <w:rPr>
                <w:color w:val="5A6B7B"/>
                <w:sz w:val="14"/>
                <w:szCs w:val="14"/>
              </w:rPr>
              <w:t xml:space="preserve">-reporting GP-stakes funds with net IRR (Rosemont I, </w:t>
            </w:r>
            <w:proofErr w:type="spellStart"/>
            <w:r>
              <w:rPr>
                <w:color w:val="5A6B7B"/>
                <w:sz w:val="14"/>
                <w:szCs w:val="14"/>
              </w:rPr>
              <w:t>Petershill</w:t>
            </w:r>
            <w:proofErr w:type="spellEnd"/>
            <w:r>
              <w:rPr>
                <w:color w:val="5A6B7B"/>
                <w:sz w:val="14"/>
                <w:szCs w:val="14"/>
              </w:rPr>
              <w:t xml:space="preserve"> I, </w:t>
            </w:r>
            <w:proofErr w:type="spellStart"/>
            <w:r>
              <w:rPr>
                <w:color w:val="5A6B7B"/>
                <w:sz w:val="14"/>
                <w:szCs w:val="14"/>
              </w:rPr>
              <w:t>Petershill</w:t>
            </w:r>
            <w:proofErr w:type="spellEnd"/>
            <w:r>
              <w:rPr>
                <w:color w:val="5A6B7B"/>
                <w:sz w:val="14"/>
                <w:szCs w:val="14"/>
              </w:rPr>
              <w:t xml:space="preserve"> PE, Odyssey, Azimut I). Momentum begins next quarter; this quarter shows levels. Pro forma 11.8% (dashed line): HPC's headline 16.6% net IRR is inflated by its subscription line — the fund invests on bank bridge financing and calls LP capital later, which shortens the period LP capital is at work and mechanically raises IRR without changing value creation (net TVPI is unchanged at 1.20x). The 11.8% is HPC's own disclosure of net IRR with all subscription-line-funded activity hypothetically replaced by capital calls (HPC Q4 2025 Portfolio Summary, p. 3), and is the like-for-like figure against GPS V, whose credit facility works in the opposite direction (7.6% with, 7.1% without). Sources: fund reporting (§8, §9.2); </w:t>
            </w:r>
            <w:proofErr w:type="spellStart"/>
            <w:r>
              <w:rPr>
                <w:color w:val="5A6B7B"/>
                <w:sz w:val="14"/>
                <w:szCs w:val="14"/>
              </w:rPr>
              <w:t>PitchBook</w:t>
            </w:r>
            <w:proofErr w:type="spellEnd"/>
            <w:r>
              <w:rPr>
                <w:color w:val="5A6B7B"/>
                <w:sz w:val="14"/>
                <w:szCs w:val="14"/>
              </w:rPr>
              <w:t xml:space="preserve">, dl. 14 Aug 2026; </w:t>
            </w:r>
            <w:proofErr w:type="spellStart"/>
            <w:r>
              <w:rPr>
                <w:color w:val="5A6B7B"/>
                <w:sz w:val="14"/>
                <w:szCs w:val="14"/>
              </w:rPr>
              <w:t>Junson</w:t>
            </w:r>
            <w:proofErr w:type="spellEnd"/>
            <w:r>
              <w:rPr>
                <w:color w:val="5A6B7B"/>
                <w:sz w:val="14"/>
                <w:szCs w:val="14"/>
              </w:rPr>
              <w:t xml:space="preserve"> calculations.</w:t>
            </w:r>
          </w:p>
        </w:tc>
        <w:tc>
          <w:tcPr>
            <w:tcW w:w="4650" w:type="dxa"/>
            <w:tcMar>
              <w:top w:w="30" w:type="dxa"/>
              <w:left w:w="50" w:type="dxa"/>
              <w:bottom w:w="30" w:type="dxa"/>
              <w:right w:w="50" w:type="dxa"/>
            </w:tcMar>
          </w:tcPr>
          <w:p w14:paraId="406AE95B" w14:textId="77777777" w:rsidR="00F842B3" w:rsidRDefault="007F444F">
            <w:pPr>
              <w:keepNext/>
              <w:spacing w:before="60" w:after="30"/>
            </w:pPr>
            <w:r>
              <w:rPr>
                <w:b/>
                <w:bCs/>
                <w:color w:val="16283F"/>
              </w:rPr>
              <w:t>Exhibit 44: Baseline levels: TVPI and DPI vs reporting-peer medians</w:t>
            </w:r>
          </w:p>
          <w:p w14:paraId="406AE95C" w14:textId="77777777" w:rsidR="00F842B3" w:rsidRDefault="007F444F">
            <w:r>
              <w:rPr>
                <w:noProof/>
              </w:rPr>
              <w:drawing>
                <wp:inline distT="0" distB="0" distL="0" distR="0" wp14:anchorId="406AE9B7" wp14:editId="406AE9B8">
                  <wp:extent cx="2857500" cy="2143125"/>
                  <wp:effectExtent l="0" t="0" r="0" b="0"/>
                  <wp:docPr id="441573054" name="Picture 441573054">
                    <a:extLst xmlns:a="http://schemas.openxmlformats.org/drawingml/2006/main">
                      <a:ext uri="{FF2B5EF4-FFF2-40B4-BE49-F238E27FC236}">
                        <a16:creationId xmlns:a16="http://schemas.microsoft.com/office/drawing/2014/main" id="{53106843-4591-4B43-999C-2627E42B76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857500" cy="2143125"/>
                          </a:xfrm>
                          <a:prstGeom prst="rect">
                            <a:avLst/>
                          </a:prstGeom>
                        </pic:spPr>
                      </pic:pic>
                    </a:graphicData>
                  </a:graphic>
                </wp:inline>
              </w:drawing>
            </w:r>
          </w:p>
          <w:p w14:paraId="406AE95D" w14:textId="77777777" w:rsidR="00F842B3" w:rsidRDefault="007F444F">
            <w:pPr>
              <w:spacing w:before="30" w:after="40"/>
            </w:pPr>
            <w:r>
              <w:rPr>
                <w:color w:val="5A6B7B"/>
                <w:sz w:val="14"/>
                <w:szCs w:val="14"/>
              </w:rPr>
              <w:t xml:space="preserve">Note: Peer medians across </w:t>
            </w:r>
            <w:proofErr w:type="spellStart"/>
            <w:r>
              <w:rPr>
                <w:color w:val="5A6B7B"/>
                <w:sz w:val="14"/>
                <w:szCs w:val="14"/>
              </w:rPr>
              <w:t>PitchBook</w:t>
            </w:r>
            <w:proofErr w:type="spellEnd"/>
            <w:r>
              <w:rPr>
                <w:color w:val="5A6B7B"/>
                <w:sz w:val="14"/>
                <w:szCs w:val="14"/>
              </w:rPr>
              <w:t xml:space="preserve">-reporting funds disclosing each metric (TVPI n=5; DPI n=6). Sources: fund reporting; </w:t>
            </w:r>
            <w:proofErr w:type="spellStart"/>
            <w:r>
              <w:rPr>
                <w:color w:val="5A6B7B"/>
                <w:sz w:val="14"/>
                <w:szCs w:val="14"/>
              </w:rPr>
              <w:t>PitchBook</w:t>
            </w:r>
            <w:proofErr w:type="spellEnd"/>
            <w:r>
              <w:rPr>
                <w:color w:val="5A6B7B"/>
                <w:sz w:val="14"/>
                <w:szCs w:val="14"/>
              </w:rPr>
              <w:t xml:space="preserve">, dl. 14 Aug 2026; </w:t>
            </w:r>
            <w:proofErr w:type="spellStart"/>
            <w:r>
              <w:rPr>
                <w:color w:val="5A6B7B"/>
                <w:sz w:val="14"/>
                <w:szCs w:val="14"/>
              </w:rPr>
              <w:t>Junson</w:t>
            </w:r>
            <w:proofErr w:type="spellEnd"/>
            <w:r>
              <w:rPr>
                <w:color w:val="5A6B7B"/>
                <w:sz w:val="14"/>
                <w:szCs w:val="14"/>
              </w:rPr>
              <w:t xml:space="preserve"> calculations.</w:t>
            </w:r>
          </w:p>
        </w:tc>
      </w:tr>
    </w:tbl>
    <w:p w14:paraId="406AE95F" w14:textId="77777777" w:rsidR="00F842B3" w:rsidRDefault="00F842B3">
      <w:pPr>
        <w:spacing w:after="100"/>
      </w:pPr>
    </w:p>
    <w:tbl>
      <w:tblPr>
        <w:tblW w:w="9300" w:type="dxa"/>
        <w:tblCellMar>
          <w:left w:w="10" w:type="dxa"/>
          <w:right w:w="10" w:type="dxa"/>
        </w:tblCellMar>
        <w:tblLook w:val="04A0" w:firstRow="1" w:lastRow="0" w:firstColumn="1" w:lastColumn="0" w:noHBand="0" w:noVBand="1"/>
      </w:tblPr>
      <w:tblGrid>
        <w:gridCol w:w="4650"/>
        <w:gridCol w:w="4650"/>
      </w:tblGrid>
      <w:tr w:rsidR="00F842B3" w14:paraId="406AE966" w14:textId="77777777">
        <w:tc>
          <w:tcPr>
            <w:tcW w:w="4650" w:type="dxa"/>
            <w:tcMar>
              <w:top w:w="30" w:type="dxa"/>
              <w:left w:w="50" w:type="dxa"/>
              <w:bottom w:w="30" w:type="dxa"/>
              <w:right w:w="50" w:type="dxa"/>
            </w:tcMar>
          </w:tcPr>
          <w:p w14:paraId="406AE960" w14:textId="77777777" w:rsidR="00F842B3" w:rsidRDefault="007F444F">
            <w:pPr>
              <w:keepNext/>
              <w:spacing w:before="60" w:after="30"/>
            </w:pPr>
            <w:r>
              <w:rPr>
                <w:b/>
                <w:bCs/>
                <w:color w:val="16283F"/>
              </w:rPr>
              <w:t>Exhibit 45: Net IRR percentile within reporting peers — trajectory (baseline point)</w:t>
            </w:r>
          </w:p>
          <w:p w14:paraId="406AE961" w14:textId="77777777" w:rsidR="00F842B3" w:rsidRDefault="007F444F">
            <w:r>
              <w:rPr>
                <w:noProof/>
              </w:rPr>
              <w:drawing>
                <wp:inline distT="0" distB="0" distL="0" distR="0" wp14:anchorId="406AE9B9" wp14:editId="406AE9BA">
                  <wp:extent cx="2857500" cy="2085975"/>
                  <wp:effectExtent l="0" t="0" r="0" b="0"/>
                  <wp:docPr id="182934027" name="Picture 182934027">
                    <a:extLst xmlns:a="http://schemas.openxmlformats.org/drawingml/2006/main">
                      <a:ext uri="{FF2B5EF4-FFF2-40B4-BE49-F238E27FC236}">
                        <a16:creationId xmlns:a16="http://schemas.microsoft.com/office/drawing/2014/main" id="{FCF5C4AC-AD06-45A5-8120-A5BBA9295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857500" cy="2085975"/>
                          </a:xfrm>
                          <a:prstGeom prst="rect">
                            <a:avLst/>
                          </a:prstGeom>
                        </pic:spPr>
                      </pic:pic>
                    </a:graphicData>
                  </a:graphic>
                </wp:inline>
              </w:drawing>
            </w:r>
          </w:p>
          <w:p w14:paraId="406AE962" w14:textId="77777777" w:rsidR="00F842B3" w:rsidRDefault="007F444F">
            <w:pPr>
              <w:spacing w:before="30" w:after="40"/>
            </w:pPr>
            <w:r>
              <w:rPr>
                <w:color w:val="5A6B7B"/>
                <w:sz w:val="14"/>
                <w:szCs w:val="14"/>
              </w:rPr>
              <w:t xml:space="preserve">Note: Percentile = share of the reporting cohort strictly below the subject fund, subject excluded (PC-report convention); one point added per quarter, series starts 2026Q3. Cohort n=6 per subject. Sources: fund reporting; </w:t>
            </w:r>
            <w:proofErr w:type="spellStart"/>
            <w:r>
              <w:rPr>
                <w:color w:val="5A6B7B"/>
                <w:sz w:val="14"/>
                <w:szCs w:val="14"/>
              </w:rPr>
              <w:t>PitchBook</w:t>
            </w:r>
            <w:proofErr w:type="spellEnd"/>
            <w:r>
              <w:rPr>
                <w:color w:val="5A6B7B"/>
                <w:sz w:val="14"/>
                <w:szCs w:val="14"/>
              </w:rPr>
              <w:t xml:space="preserve">; </w:t>
            </w:r>
            <w:proofErr w:type="spellStart"/>
            <w:r>
              <w:rPr>
                <w:color w:val="5A6B7B"/>
                <w:sz w:val="14"/>
                <w:szCs w:val="14"/>
              </w:rPr>
              <w:t>Junson</w:t>
            </w:r>
            <w:proofErr w:type="spellEnd"/>
            <w:r>
              <w:rPr>
                <w:color w:val="5A6B7B"/>
                <w:sz w:val="14"/>
                <w:szCs w:val="14"/>
              </w:rPr>
              <w:t xml:space="preserve"> calculations.</w:t>
            </w:r>
          </w:p>
        </w:tc>
        <w:tc>
          <w:tcPr>
            <w:tcW w:w="4650" w:type="dxa"/>
            <w:tcMar>
              <w:top w:w="30" w:type="dxa"/>
              <w:left w:w="50" w:type="dxa"/>
              <w:bottom w:w="30" w:type="dxa"/>
              <w:right w:w="50" w:type="dxa"/>
            </w:tcMar>
          </w:tcPr>
          <w:p w14:paraId="406AE963" w14:textId="77777777" w:rsidR="00F842B3" w:rsidRDefault="007F444F">
            <w:pPr>
              <w:keepNext/>
              <w:spacing w:before="60" w:after="30"/>
            </w:pPr>
            <w:r>
              <w:rPr>
                <w:b/>
                <w:bCs/>
                <w:color w:val="16283F"/>
              </w:rPr>
              <w:t>Exhibit 46: TVPI and DPI percentile — trajectory (baseline point)</w:t>
            </w:r>
          </w:p>
          <w:p w14:paraId="406AE964" w14:textId="77777777" w:rsidR="00F842B3" w:rsidRDefault="007F444F">
            <w:r>
              <w:rPr>
                <w:noProof/>
              </w:rPr>
              <w:drawing>
                <wp:inline distT="0" distB="0" distL="0" distR="0" wp14:anchorId="406AE9BB" wp14:editId="406AE9BC">
                  <wp:extent cx="2857500" cy="2085975"/>
                  <wp:effectExtent l="0" t="0" r="0" b="0"/>
                  <wp:docPr id="1715753466" name="Picture 1715753466">
                    <a:extLst xmlns:a="http://schemas.openxmlformats.org/drawingml/2006/main">
                      <a:ext uri="{FF2B5EF4-FFF2-40B4-BE49-F238E27FC236}">
                        <a16:creationId xmlns:a16="http://schemas.microsoft.com/office/drawing/2014/main" id="{54D80C6E-16C9-4F6E-84A7-FB022A5107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857500" cy="2085975"/>
                          </a:xfrm>
                          <a:prstGeom prst="rect">
                            <a:avLst/>
                          </a:prstGeom>
                        </pic:spPr>
                      </pic:pic>
                    </a:graphicData>
                  </a:graphic>
                </wp:inline>
              </w:drawing>
            </w:r>
          </w:p>
          <w:p w14:paraId="406AE965" w14:textId="77777777" w:rsidR="00F842B3" w:rsidRDefault="007F444F">
            <w:pPr>
              <w:spacing w:before="30" w:after="40"/>
            </w:pPr>
            <w:r>
              <w:rPr>
                <w:color w:val="5A6B7B"/>
                <w:sz w:val="14"/>
                <w:szCs w:val="14"/>
              </w:rPr>
              <w:t xml:space="preserve">Note: Same convention; TVPI cohort n=6, DPI cohort n=7 per subject. Percentile history archived in </w:t>
            </w:r>
            <w:proofErr w:type="spellStart"/>
            <w:r>
              <w:rPr>
                <w:color w:val="5A6B7B"/>
                <w:sz w:val="14"/>
                <w:szCs w:val="14"/>
              </w:rPr>
              <w:t>comp_series.json</w:t>
            </w:r>
            <w:proofErr w:type="spellEnd"/>
            <w:r>
              <w:rPr>
                <w:color w:val="5A6B7B"/>
                <w:sz w:val="14"/>
                <w:szCs w:val="14"/>
              </w:rPr>
              <w:t xml:space="preserve"> alongside the source files for next quarter's delta computation. Sources: fund reporting; </w:t>
            </w:r>
            <w:proofErr w:type="spellStart"/>
            <w:r>
              <w:rPr>
                <w:color w:val="5A6B7B"/>
                <w:sz w:val="14"/>
                <w:szCs w:val="14"/>
              </w:rPr>
              <w:t>PitchBook</w:t>
            </w:r>
            <w:proofErr w:type="spellEnd"/>
            <w:r>
              <w:rPr>
                <w:color w:val="5A6B7B"/>
                <w:sz w:val="14"/>
                <w:szCs w:val="14"/>
              </w:rPr>
              <w:t xml:space="preserve">; </w:t>
            </w:r>
            <w:proofErr w:type="spellStart"/>
            <w:r>
              <w:rPr>
                <w:color w:val="5A6B7B"/>
                <w:sz w:val="14"/>
                <w:szCs w:val="14"/>
              </w:rPr>
              <w:t>Junson</w:t>
            </w:r>
            <w:proofErr w:type="spellEnd"/>
            <w:r>
              <w:rPr>
                <w:color w:val="5A6B7B"/>
                <w:sz w:val="14"/>
                <w:szCs w:val="14"/>
              </w:rPr>
              <w:t xml:space="preserve"> calculations.</w:t>
            </w:r>
          </w:p>
        </w:tc>
      </w:tr>
    </w:tbl>
    <w:p w14:paraId="406AE967" w14:textId="77777777" w:rsidR="00F842B3" w:rsidRDefault="00F842B3">
      <w:pPr>
        <w:spacing w:after="100"/>
      </w:pPr>
    </w:p>
    <w:p w14:paraId="406AE968" w14:textId="77777777" w:rsidR="00F842B3" w:rsidRDefault="007F444F">
      <w:pPr>
        <w:pStyle w:val="Heading2"/>
        <w:spacing w:before="200" w:after="100"/>
      </w:pPr>
      <w:r>
        <w:t>9.5 Appendix — peer universe and methodology</w:t>
      </w:r>
    </w:p>
    <w:p w14:paraId="406AE969" w14:textId="77777777" w:rsidR="00F842B3" w:rsidRDefault="007F444F">
      <w:pPr>
        <w:spacing w:after="140" w:line="264" w:lineRule="auto"/>
        <w:jc w:val="both"/>
      </w:pPr>
      <w:r>
        <w:t xml:space="preserve">The full screen holds </w:t>
      </w:r>
      <w:r>
        <w:rPr>
          <w:b/>
          <w:bCs/>
        </w:rPr>
        <w:t>33</w:t>
      </w:r>
      <w:r>
        <w:t xml:space="preserve"> GP-stakes and adjacent vehicles, of which </w:t>
      </w:r>
      <w:r>
        <w:rPr>
          <w:b/>
          <w:bCs/>
        </w:rPr>
        <w:t>19</w:t>
      </w:r>
      <w:r>
        <w:t xml:space="preserve"> carry a </w:t>
      </w:r>
      <w:proofErr w:type="spellStart"/>
      <w:r>
        <w:t>PitchBook</w:t>
      </w:r>
      <w:proofErr w:type="spellEnd"/>
      <w:r>
        <w:t xml:space="preserve"> vintage and </w:t>
      </w:r>
      <w:r>
        <w:rPr>
          <w:b/>
          <w:bCs/>
        </w:rPr>
        <w:t>7</w:t>
      </w:r>
      <w:r>
        <w:t xml:space="preserve"> report performance. The vintage profile shows the strategy's institutionalization: formation is sparse and episodic before 2020, then steps up to </w:t>
      </w:r>
      <w:r>
        <w:rPr>
          <w:b/>
          <w:bCs/>
        </w:rPr>
        <w:t>5 funds</w:t>
      </w:r>
      <w:r>
        <w:t xml:space="preserve"> in the 2024 vintage with </w:t>
      </w:r>
      <w:r>
        <w:rPr>
          <w:b/>
          <w:bCs/>
        </w:rPr>
        <w:t>~US$9.4bn</w:t>
      </w:r>
      <w:r>
        <w:t xml:space="preserve"> of reported aggregate size — dominated by Blue Owl GP Stakes VI's US$9.1bn — with 2025–26 vintages already forming (Trestle II, AXA IM Prime). Two reads for </w:t>
      </w:r>
      <w:proofErr w:type="spellStart"/>
      <w:r>
        <w:t>Junson</w:t>
      </w:r>
      <w:proofErr w:type="spellEnd"/>
      <w:r>
        <w:t xml:space="preserve">: the competitive set for large-cap GP stakes remains effectively three platforms (Blue Owl, </w:t>
      </w:r>
      <w:proofErr w:type="spellStart"/>
      <w:r>
        <w:t>Petershill</w:t>
      </w:r>
      <w:proofErr w:type="spellEnd"/>
      <w:r>
        <w:t xml:space="preserve">, and now HPC), and the entry of small first-time vehicles (US$20–640m) signals the strategy is being retailed down-market — watch for cohort-quality dilution in future vintages. Methodology: </w:t>
      </w:r>
      <w:r>
        <w:lastRenderedPageBreak/>
        <w:t xml:space="preserve">vintages follow </w:t>
      </w:r>
      <w:proofErr w:type="spellStart"/>
      <w:r>
        <w:t>PitchBook's</w:t>
      </w:r>
      <w:proofErr w:type="spellEnd"/>
      <w:r>
        <w:t xml:space="preserve"> first-investment convention throughout; percentile = share of reporting cohort strictly below the subject, subject excluded; manager-reported figures (GPS V, HPC) and </w:t>
      </w:r>
      <w:proofErr w:type="spellStart"/>
      <w:r>
        <w:t>PitchBook's</w:t>
      </w:r>
      <w:proofErr w:type="spellEnd"/>
      <w:r>
        <w:t xml:space="preserve"> lagged, self-reported figures are shown side by side but are not strictly comparable; aggregate size only sums funds that disclose it, so the size line is a floor, not a total. The cohort-dispersion (IQR) monitor from the Private Credit report is omitted: with at most two ranked funds per vintage the statistic is not meaningful; it will be reinstated on </w:t>
      </w:r>
      <w:proofErr w:type="spellStart"/>
      <w:r>
        <w:t>PitchBook</w:t>
      </w:r>
      <w:proofErr w:type="spellEnd"/>
      <w:r>
        <w:t xml:space="preserve"> Benchmarks buyout cohorts once that release joins the source library.</w:t>
      </w:r>
    </w:p>
    <w:p w14:paraId="406AE96A" w14:textId="77777777" w:rsidR="00F842B3" w:rsidRDefault="007F444F">
      <w:pPr>
        <w:keepNext/>
        <w:spacing w:before="60" w:after="30"/>
      </w:pPr>
      <w:r>
        <w:rPr>
          <w:b/>
          <w:bCs/>
          <w:color w:val="16283F"/>
        </w:rPr>
        <w:t>Exhibit 47: GP-stakes peer universe: fund formation and reported size by vintage year</w:t>
      </w:r>
    </w:p>
    <w:p w14:paraId="406AE96B" w14:textId="77777777" w:rsidR="00F842B3" w:rsidRDefault="007F444F">
      <w:r>
        <w:rPr>
          <w:noProof/>
        </w:rPr>
        <w:drawing>
          <wp:inline distT="0" distB="0" distL="0" distR="0" wp14:anchorId="406AE9BD" wp14:editId="406AE9BE">
            <wp:extent cx="6143625" cy="2714625"/>
            <wp:effectExtent l="0" t="0" r="0" b="0"/>
            <wp:docPr id="1422609345" name="Picture 1422609345">
              <a:extLst xmlns:a="http://schemas.openxmlformats.org/drawingml/2006/main">
                <a:ext uri="{FF2B5EF4-FFF2-40B4-BE49-F238E27FC236}">
                  <a16:creationId xmlns:a16="http://schemas.microsoft.com/office/drawing/2014/main" id="{C8A4C558-E2FD-47B8-B4C2-E93F90ADB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43625" cy="2714625"/>
                    </a:xfrm>
                    <a:prstGeom prst="rect">
                      <a:avLst/>
                    </a:prstGeom>
                  </pic:spPr>
                </pic:pic>
              </a:graphicData>
            </a:graphic>
          </wp:inline>
        </w:drawing>
      </w:r>
    </w:p>
    <w:p w14:paraId="406AE96C" w14:textId="77777777" w:rsidR="00F842B3" w:rsidRDefault="007F444F">
      <w:pPr>
        <w:spacing w:before="30" w:after="180"/>
      </w:pPr>
      <w:r>
        <w:rPr>
          <w:color w:val="5A6B7B"/>
          <w:sz w:val="14"/>
          <w:szCs w:val="14"/>
        </w:rPr>
        <w:t xml:space="preserve">Note: All 33 screen funds with a reported </w:t>
      </w:r>
      <w:proofErr w:type="spellStart"/>
      <w:r>
        <w:rPr>
          <w:color w:val="5A6B7B"/>
          <w:sz w:val="14"/>
          <w:szCs w:val="14"/>
        </w:rPr>
        <w:t>PitchBook</w:t>
      </w:r>
      <w:proofErr w:type="spellEnd"/>
      <w:r>
        <w:rPr>
          <w:color w:val="5A6B7B"/>
          <w:sz w:val="14"/>
          <w:szCs w:val="14"/>
        </w:rPr>
        <w:t xml:space="preserve"> vintage (n=19; 14 vehicles — mainly co-invest sleeves and evergreen feeders — carry no vintage and are excluded). Size line aggregates only funds disclosing size. GPS V and HPC Fund I are not in the screen. Source: </w:t>
      </w:r>
      <w:proofErr w:type="spellStart"/>
      <w:r>
        <w:rPr>
          <w:color w:val="5A6B7B"/>
          <w:sz w:val="14"/>
          <w:szCs w:val="14"/>
        </w:rPr>
        <w:t>PitchBook</w:t>
      </w:r>
      <w:proofErr w:type="spellEnd"/>
      <w:r>
        <w:rPr>
          <w:color w:val="5A6B7B"/>
          <w:sz w:val="14"/>
          <w:szCs w:val="14"/>
        </w:rPr>
        <w:t xml:space="preserve">, dl. 14 Aug 2026; </w:t>
      </w:r>
      <w:proofErr w:type="spellStart"/>
      <w:r>
        <w:rPr>
          <w:color w:val="5A6B7B"/>
          <w:sz w:val="14"/>
          <w:szCs w:val="14"/>
        </w:rPr>
        <w:t>Junson</w:t>
      </w:r>
      <w:proofErr w:type="spellEnd"/>
      <w:r>
        <w:rPr>
          <w:color w:val="5A6B7B"/>
          <w:sz w:val="14"/>
          <w:szCs w:val="14"/>
        </w:rPr>
        <w:t xml:space="preserve"> calculations.</w:t>
      </w:r>
    </w:p>
    <w:sectPr w:rsidR="00F842B3">
      <w:headerReference w:type="default" r:id="rId51"/>
      <w:footerReference w:type="default" r:id="rId52"/>
      <w:pgSz w:w="11906" w:h="16838"/>
      <w:pgMar w:top="901" w:right="1100" w:bottom="901"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5E93B" w14:textId="77777777" w:rsidR="00C11614" w:rsidRDefault="00C11614">
      <w:r>
        <w:separator/>
      </w:r>
    </w:p>
  </w:endnote>
  <w:endnote w:type="continuationSeparator" w:id="0">
    <w:p w14:paraId="37B3C507" w14:textId="77777777" w:rsidR="00C11614" w:rsidRDefault="00C11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E9C0" w14:textId="52981148" w:rsidR="00F842B3" w:rsidRDefault="007F444F">
    <w:pPr>
      <w:jc w:val="center"/>
    </w:pPr>
    <w:r>
      <w:rPr>
        <w:color w:val="5A6B7B"/>
        <w:sz w:val="15"/>
        <w:szCs w:val="15"/>
      </w:rPr>
      <w:t xml:space="preserve">Page </w:t>
    </w:r>
    <w:r>
      <w:rPr>
        <w:color w:val="5A6B7B"/>
        <w:sz w:val="15"/>
        <w:szCs w:val="15"/>
      </w:rPr>
      <w:fldChar w:fldCharType="begin"/>
    </w:r>
    <w:r>
      <w:rPr>
        <w:color w:val="5A6B7B"/>
        <w:sz w:val="15"/>
        <w:szCs w:val="15"/>
      </w:rPr>
      <w:instrText>PAGE</w:instrText>
    </w:r>
    <w:r>
      <w:rPr>
        <w:color w:val="5A6B7B"/>
        <w:sz w:val="15"/>
        <w:szCs w:val="15"/>
      </w:rPr>
      <w:fldChar w:fldCharType="separate"/>
    </w:r>
    <w:r w:rsidR="00A4640B">
      <w:rPr>
        <w:noProof/>
        <w:color w:val="5A6B7B"/>
        <w:sz w:val="15"/>
        <w:szCs w:val="15"/>
      </w:rPr>
      <w:t>1</w:t>
    </w:r>
    <w:r>
      <w:rPr>
        <w:color w:val="5A6B7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B9C08" w14:textId="77777777" w:rsidR="00C11614" w:rsidRDefault="00C11614">
      <w:r>
        <w:separator/>
      </w:r>
    </w:p>
  </w:footnote>
  <w:footnote w:type="continuationSeparator" w:id="0">
    <w:p w14:paraId="35EBF728" w14:textId="77777777" w:rsidR="00C11614" w:rsidRDefault="00C11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E9BF" w14:textId="77777777" w:rsidR="00F842B3" w:rsidRDefault="007F444F">
    <w:pPr>
      <w:jc w:val="right"/>
    </w:pPr>
    <w:r>
      <w:rPr>
        <w:color w:val="5A6B7B"/>
        <w:sz w:val="15"/>
        <w:szCs w:val="15"/>
      </w:rPr>
      <w:t>JUNSON Capital Research · US PE Quarterly Report (2026Q3)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B6F"/>
    <w:multiLevelType w:val="hybridMultilevel"/>
    <w:tmpl w:val="460000E6"/>
    <w:lvl w:ilvl="0" w:tplc="DA48B77A">
      <w:start w:val="1"/>
      <w:numFmt w:val="bullet"/>
      <w:lvlText w:val="•"/>
      <w:lvlJc w:val="left"/>
      <w:pPr>
        <w:ind w:left="340" w:hanging="240"/>
      </w:pPr>
    </w:lvl>
    <w:lvl w:ilvl="1" w:tplc="3B1291E2">
      <w:numFmt w:val="decimal"/>
      <w:lvlText w:val=""/>
      <w:lvlJc w:val="left"/>
    </w:lvl>
    <w:lvl w:ilvl="2" w:tplc="222C3C24">
      <w:numFmt w:val="decimal"/>
      <w:lvlText w:val=""/>
      <w:lvlJc w:val="left"/>
    </w:lvl>
    <w:lvl w:ilvl="3" w:tplc="82A0C962">
      <w:numFmt w:val="decimal"/>
      <w:lvlText w:val=""/>
      <w:lvlJc w:val="left"/>
    </w:lvl>
    <w:lvl w:ilvl="4" w:tplc="3B4E92F0">
      <w:numFmt w:val="decimal"/>
      <w:lvlText w:val=""/>
      <w:lvlJc w:val="left"/>
    </w:lvl>
    <w:lvl w:ilvl="5" w:tplc="7B3A0372">
      <w:numFmt w:val="decimal"/>
      <w:lvlText w:val=""/>
      <w:lvlJc w:val="left"/>
    </w:lvl>
    <w:lvl w:ilvl="6" w:tplc="81283BFC">
      <w:numFmt w:val="decimal"/>
      <w:lvlText w:val=""/>
      <w:lvlJc w:val="left"/>
    </w:lvl>
    <w:lvl w:ilvl="7" w:tplc="9356CCCE">
      <w:numFmt w:val="decimal"/>
      <w:lvlText w:val=""/>
      <w:lvlJc w:val="left"/>
    </w:lvl>
    <w:lvl w:ilvl="8" w:tplc="B1C43A6C">
      <w:numFmt w:val="decimal"/>
      <w:lvlText w:val=""/>
      <w:lvlJc w:val="left"/>
    </w:lvl>
  </w:abstractNum>
  <w:abstractNum w:abstractNumId="1" w15:restartNumberingAfterBreak="0">
    <w:nsid w:val="60294477"/>
    <w:multiLevelType w:val="hybridMultilevel"/>
    <w:tmpl w:val="E776271A"/>
    <w:lvl w:ilvl="0" w:tplc="874E3E8E">
      <w:start w:val="1"/>
      <w:numFmt w:val="bullet"/>
      <w:lvlText w:val="●"/>
      <w:lvlJc w:val="left"/>
      <w:pPr>
        <w:ind w:left="720" w:hanging="360"/>
      </w:pPr>
    </w:lvl>
    <w:lvl w:ilvl="1" w:tplc="584A9460">
      <w:start w:val="1"/>
      <w:numFmt w:val="bullet"/>
      <w:lvlText w:val="○"/>
      <w:lvlJc w:val="left"/>
      <w:pPr>
        <w:ind w:left="1440" w:hanging="360"/>
      </w:pPr>
    </w:lvl>
    <w:lvl w:ilvl="2" w:tplc="98520B64">
      <w:start w:val="1"/>
      <w:numFmt w:val="bullet"/>
      <w:lvlText w:val="■"/>
      <w:lvlJc w:val="left"/>
      <w:pPr>
        <w:ind w:left="2160" w:hanging="360"/>
      </w:pPr>
    </w:lvl>
    <w:lvl w:ilvl="3" w:tplc="5D76126A">
      <w:start w:val="1"/>
      <w:numFmt w:val="bullet"/>
      <w:lvlText w:val="●"/>
      <w:lvlJc w:val="left"/>
      <w:pPr>
        <w:ind w:left="2880" w:hanging="360"/>
      </w:pPr>
    </w:lvl>
    <w:lvl w:ilvl="4" w:tplc="E728AB8E">
      <w:start w:val="1"/>
      <w:numFmt w:val="bullet"/>
      <w:lvlText w:val="○"/>
      <w:lvlJc w:val="left"/>
      <w:pPr>
        <w:ind w:left="3600" w:hanging="360"/>
      </w:pPr>
    </w:lvl>
    <w:lvl w:ilvl="5" w:tplc="16122E1E">
      <w:start w:val="1"/>
      <w:numFmt w:val="bullet"/>
      <w:lvlText w:val="■"/>
      <w:lvlJc w:val="left"/>
      <w:pPr>
        <w:ind w:left="4320" w:hanging="360"/>
      </w:pPr>
    </w:lvl>
    <w:lvl w:ilvl="6" w:tplc="A1E693E2">
      <w:start w:val="1"/>
      <w:numFmt w:val="bullet"/>
      <w:lvlText w:val="●"/>
      <w:lvlJc w:val="left"/>
      <w:pPr>
        <w:ind w:left="5040" w:hanging="360"/>
      </w:pPr>
    </w:lvl>
    <w:lvl w:ilvl="7" w:tplc="C248EA1A">
      <w:start w:val="1"/>
      <w:numFmt w:val="bullet"/>
      <w:lvlText w:val="●"/>
      <w:lvlJc w:val="left"/>
      <w:pPr>
        <w:ind w:left="5760" w:hanging="360"/>
      </w:pPr>
    </w:lvl>
    <w:lvl w:ilvl="8" w:tplc="699AC968">
      <w:start w:val="1"/>
      <w:numFmt w:val="bullet"/>
      <w:lvlText w:val="●"/>
      <w:lvlJc w:val="left"/>
      <w:pPr>
        <w:ind w:left="6480" w:hanging="360"/>
      </w:pPr>
    </w:lvl>
  </w:abstractNum>
  <w:num w:numId="1" w16cid:durableId="179203196">
    <w:abstractNumId w:val="0"/>
    <w:lvlOverride w:ilvl="0">
      <w:startOverride w:val="1"/>
    </w:lvlOverride>
  </w:num>
  <w:num w:numId="2" w16cid:durableId="21053709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2B3"/>
    <w:rsid w:val="000035C2"/>
    <w:rsid w:val="00107580"/>
    <w:rsid w:val="00130C01"/>
    <w:rsid w:val="001B0082"/>
    <w:rsid w:val="00213F07"/>
    <w:rsid w:val="002562A5"/>
    <w:rsid w:val="00265AD3"/>
    <w:rsid w:val="00310D7D"/>
    <w:rsid w:val="004B3535"/>
    <w:rsid w:val="00577CC2"/>
    <w:rsid w:val="0059528A"/>
    <w:rsid w:val="005B52F7"/>
    <w:rsid w:val="00636EC8"/>
    <w:rsid w:val="006727E2"/>
    <w:rsid w:val="00697AAC"/>
    <w:rsid w:val="00727A9F"/>
    <w:rsid w:val="007F444F"/>
    <w:rsid w:val="00883513"/>
    <w:rsid w:val="008F301A"/>
    <w:rsid w:val="00987A84"/>
    <w:rsid w:val="009F0003"/>
    <w:rsid w:val="00A03E11"/>
    <w:rsid w:val="00A1760F"/>
    <w:rsid w:val="00A4570B"/>
    <w:rsid w:val="00A4640B"/>
    <w:rsid w:val="00B55835"/>
    <w:rsid w:val="00B76ACA"/>
    <w:rsid w:val="00BD7915"/>
    <w:rsid w:val="00C11614"/>
    <w:rsid w:val="00C17FA6"/>
    <w:rsid w:val="00C506A4"/>
    <w:rsid w:val="00C509C0"/>
    <w:rsid w:val="00D605AB"/>
    <w:rsid w:val="00E213C3"/>
    <w:rsid w:val="00ED54FA"/>
    <w:rsid w:val="00F530F2"/>
    <w:rsid w:val="00F842B3"/>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AE6ED"/>
  <w15:docId w15:val="{801FDEAA-F335-451F-BBC2-BAA09B48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19"/>
        <w:szCs w:val="19"/>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6283F"/>
      <w:sz w:val="36"/>
      <w:szCs w:val="36"/>
    </w:rPr>
  </w:style>
  <w:style w:type="paragraph" w:styleId="Heading2">
    <w:name w:val="heading 2"/>
    <w:uiPriority w:val="9"/>
    <w:unhideWhenUsed/>
    <w:qFormat/>
    <w:pPr>
      <w:outlineLvl w:val="1"/>
    </w:pPr>
    <w:rPr>
      <w:b/>
      <w:bCs/>
      <w:color w:val="2E6DA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7580"/>
    <w:pPr>
      <w:tabs>
        <w:tab w:val="center" w:pos="4680"/>
        <w:tab w:val="right" w:pos="9360"/>
      </w:tabs>
    </w:pPr>
  </w:style>
  <w:style w:type="character" w:customStyle="1" w:styleId="HeaderChar">
    <w:name w:val="Header Char"/>
    <w:basedOn w:val="DefaultParagraphFont"/>
    <w:link w:val="Header"/>
    <w:uiPriority w:val="99"/>
    <w:rsid w:val="00107580"/>
  </w:style>
  <w:style w:type="paragraph" w:styleId="Footer">
    <w:name w:val="footer"/>
    <w:basedOn w:val="Normal"/>
    <w:link w:val="FooterChar"/>
    <w:uiPriority w:val="99"/>
    <w:unhideWhenUsed/>
    <w:rsid w:val="00107580"/>
    <w:pPr>
      <w:tabs>
        <w:tab w:val="center" w:pos="4680"/>
        <w:tab w:val="right" w:pos="9360"/>
      </w:tabs>
    </w:pPr>
  </w:style>
  <w:style w:type="character" w:customStyle="1" w:styleId="FooterChar">
    <w:name w:val="Footer Char"/>
    <w:basedOn w:val="DefaultParagraphFont"/>
    <w:link w:val="Footer"/>
    <w:uiPriority w:val="99"/>
    <w:rsid w:val="00107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1D05CCF851AC4192721B5C18719E0A" ma:contentTypeVersion="14" ma:contentTypeDescription="Create a new document." ma:contentTypeScope="" ma:versionID="78520571c042d76978e9ec0fe631ebdf">
  <xsd:schema xmlns:xsd="http://www.w3.org/2001/XMLSchema" xmlns:xs="http://www.w3.org/2001/XMLSchema" xmlns:p="http://schemas.microsoft.com/office/2006/metadata/properties" xmlns:ns2="bfbb1062-41e6-432c-9c43-d324a8966ea8" xmlns:ns3="99780c3d-ce84-4612-bd1f-c1310cd1ad15" targetNamespace="http://schemas.microsoft.com/office/2006/metadata/properties" ma:root="true" ma:fieldsID="956673cc0575f07931f680defeba172c" ns2:_="" ns3:_="">
    <xsd:import namespace="bfbb1062-41e6-432c-9c43-d324a8966ea8"/>
    <xsd:import namespace="99780c3d-ce84-4612-bd1f-c1310cd1ad1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b1062-41e6-432c-9c43-d324a8966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af81b6-6ddb-4c7c-9707-17f1317d6bd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780c3d-ce84-4612-bd1f-c1310cd1ad1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63fe86c-0038-4a3d-9f4e-054dcbe1eede}" ma:internalName="TaxCatchAll" ma:showField="CatchAllData" ma:web="99780c3d-ce84-4612-bd1f-c1310cd1ad1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fbb1062-41e6-432c-9c43-d324a8966ea8">
      <Terms xmlns="http://schemas.microsoft.com/office/infopath/2007/PartnerControls"/>
    </lcf76f155ced4ddcb4097134ff3c332f>
    <TaxCatchAll xmlns="99780c3d-ce84-4612-bd1f-c1310cd1ad15" xsi:nil="true"/>
  </documentManagement>
</p:properties>
</file>

<file path=customXml/itemProps1.xml><?xml version="1.0" encoding="utf-8"?>
<ds:datastoreItem xmlns:ds="http://schemas.openxmlformats.org/officeDocument/2006/customXml" ds:itemID="{25E4A39C-A778-498E-AC6A-776015EA29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bb1062-41e6-432c-9c43-d324a8966ea8"/>
    <ds:schemaRef ds:uri="99780c3d-ce84-4612-bd1f-c1310cd1ad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4FC03C-E467-4EAF-98D3-D98ED02AA684}">
  <ds:schemaRefs>
    <ds:schemaRef ds:uri="http://schemas.microsoft.com/sharepoint/v3/contenttype/forms"/>
  </ds:schemaRefs>
</ds:datastoreItem>
</file>

<file path=customXml/itemProps3.xml><?xml version="1.0" encoding="utf-8"?>
<ds:datastoreItem xmlns:ds="http://schemas.openxmlformats.org/officeDocument/2006/customXml" ds:itemID="{437ABCDC-F8A4-4F3F-A324-00542144FFDA}">
  <ds:schemaRefs>
    <ds:schemaRef ds:uri="http://schemas.microsoft.com/office/2006/metadata/properties"/>
    <ds:schemaRef ds:uri="http://schemas.microsoft.com/office/infopath/2007/PartnerControls"/>
    <ds:schemaRef ds:uri="bfbb1062-41e6-432c-9c43-d324a8966ea8"/>
    <ds:schemaRef ds:uri="99780c3d-ce84-4612-bd1f-c1310cd1ad15"/>
  </ds:schemaRefs>
</ds:datastoreItem>
</file>

<file path=docProps/app.xml><?xml version="1.0" encoding="utf-8"?>
<Properties xmlns="http://schemas.openxmlformats.org/officeDocument/2006/extended-properties" xmlns:vt="http://schemas.openxmlformats.org/officeDocument/2006/docPropsVTypes">
  <Template>Normal</Template>
  <TotalTime>1507</TotalTime>
  <Pages>18</Pages>
  <Words>6622</Words>
  <Characters>37751</Characters>
  <Application>Microsoft Office Word</Application>
  <DocSecurity>0</DocSecurity>
  <Lines>314</Lines>
  <Paragraphs>88</Paragraphs>
  <ScaleCrop>false</ScaleCrop>
  <Company/>
  <LinksUpToDate>false</LinksUpToDate>
  <CharactersWithSpaces>44285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Xiyang Zhao</cp:lastModifiedBy>
  <cp:revision>20</cp:revision>
  <dcterms:created xsi:type="dcterms:W3CDTF">2026-09-01T08:12:00Z</dcterms:created>
  <dcterms:modified xsi:type="dcterms:W3CDTF">2026-09-04T05:51:00Z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0x010100881D05CCF851AC4192721B5C18719E0A</vt:lpwstr>
  </property>
</Properties>
</file>