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4E419" w14:textId="77777777" w:rsidR="007F182B" w:rsidRPr="00312B84" w:rsidRDefault="00D83B8A">
      <w:pPr>
        <w:tabs>
          <w:tab w:val="right" w:pos="10244"/>
        </w:tabs>
        <w:spacing w:before="200" w:after="60"/>
        <w:rPr>
          <w:sz w:val="24"/>
          <w:szCs w:val="24"/>
        </w:rPr>
      </w:pPr>
      <w:r w:rsidRPr="00312B84">
        <w:rPr>
          <w:rFonts w:eastAsia="Calibri Light"/>
          <w:color w:val="1C3660"/>
          <w:sz w:val="52"/>
          <w:szCs w:val="52"/>
        </w:rPr>
        <w:t xml:space="preserve">Blue Owl Technology Finance Corp. </w:t>
      </w:r>
      <w:r w:rsidRPr="00312B84">
        <w:rPr>
          <w:rFonts w:eastAsia="Calibri Light"/>
          <w:color w:val="1C3660"/>
          <w:sz w:val="28"/>
          <w:szCs w:val="28"/>
        </w:rPr>
        <w:t>(NYSE: OTF)</w:t>
      </w:r>
      <w:r w:rsidRPr="00312B84">
        <w:rPr>
          <w:rFonts w:eastAsia="Calibri Light"/>
          <w:color w:val="1C3660"/>
          <w:sz w:val="22"/>
          <w:szCs w:val="22"/>
        </w:rPr>
        <w:tab/>
        <w:t>17 Aug,2026</w:t>
      </w:r>
    </w:p>
    <w:p w14:paraId="3FAF862C" w14:textId="77777777" w:rsidR="007F182B" w:rsidRPr="00312B84" w:rsidRDefault="00D83B8A">
      <w:pPr>
        <w:spacing w:before="40" w:after="200"/>
        <w:rPr>
          <w:sz w:val="24"/>
          <w:szCs w:val="24"/>
        </w:rPr>
      </w:pPr>
      <w:r w:rsidRPr="00312B84">
        <w:rPr>
          <w:noProof/>
          <w:sz w:val="24"/>
          <w:szCs w:val="24"/>
        </w:rPr>
        <w:drawing>
          <wp:inline distT="0" distB="0" distL="0" distR="0" wp14:anchorId="27E1524E" wp14:editId="0A1F41E5">
            <wp:extent cx="6504940" cy="214028"/>
            <wp:effectExtent l="0" t="0" r="0" b="0"/>
            <wp:docPr id="902" name="cover gradient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over gradient band"/>
                    <pic:cNvPicPr/>
                  </pic:nvPicPr>
                  <pic:blipFill>
                    <a:blip r:embed="rId10"/>
                    <a:stretch>
                      <a:fillRect/>
                    </a:stretch>
                  </pic:blipFill>
                  <pic:spPr>
                    <a:xfrm>
                      <a:off x="0" y="0"/>
                      <a:ext cx="6504940" cy="214028"/>
                    </a:xfrm>
                    <a:prstGeom prst="rect">
                      <a:avLst/>
                    </a:prstGeom>
                  </pic:spPr>
                </pic:pic>
              </a:graphicData>
            </a:graphic>
          </wp:inline>
        </w:drawing>
      </w:r>
    </w:p>
    <w:p w14:paraId="6EB36798" w14:textId="77777777" w:rsidR="00813CB8" w:rsidRPr="00312B84" w:rsidRDefault="002B4BED">
      <w:pPr>
        <w:spacing w:after="80"/>
        <w:rPr>
          <w:sz w:val="24"/>
          <w:szCs w:val="24"/>
        </w:rPr>
      </w:pPr>
      <w:r w:rsidRPr="00312B84">
        <w:rPr>
          <w:rFonts w:eastAsia="Calibri Light"/>
          <w:color w:val="1C3660"/>
          <w:sz w:val="24"/>
          <w:szCs w:val="24"/>
        </w:rPr>
        <w:t>Software &amp; OTF Quarterly Update — 2026Q2 review, published 17 August 2026</w:t>
      </w:r>
    </w:p>
    <w:p w14:paraId="6EB3679A" w14:textId="22443FB4" w:rsidR="00813CB8" w:rsidRPr="00312B84" w:rsidRDefault="002B4BED">
      <w:pPr>
        <w:pStyle w:val="1"/>
        <w:spacing w:before="620" w:after="160"/>
        <w:rPr>
          <w:sz w:val="24"/>
          <w:szCs w:val="24"/>
        </w:rPr>
      </w:pPr>
      <w:r w:rsidRPr="00312B84">
        <w:rPr>
          <w:rFonts w:eastAsia="Calibri Light"/>
          <w:b/>
          <w:bCs/>
          <w:color w:val="1C3660"/>
          <w:sz w:val="48"/>
          <w:szCs w:val="48"/>
        </w:rPr>
        <w:t>Summary</w:t>
      </w:r>
    </w:p>
    <w:p w14:paraId="6EB3679B" w14:textId="77777777" w:rsidR="00813CB8" w:rsidRPr="00312B84" w:rsidRDefault="002B4BED">
      <w:pPr>
        <w:spacing w:before="160" w:after="80"/>
        <w:ind w:left="200"/>
        <w:rPr>
          <w:sz w:val="24"/>
          <w:szCs w:val="24"/>
        </w:rPr>
      </w:pPr>
      <w:r w:rsidRPr="00312B84">
        <w:rPr>
          <w:rFonts w:eastAsia="Calibri Light"/>
          <w:b/>
          <w:bCs/>
          <w:color w:val="1C3660"/>
          <w:sz w:val="24"/>
          <w:szCs w:val="24"/>
        </w:rPr>
        <w:t>Software industry by AI impact</w:t>
      </w:r>
    </w:p>
    <w:p w14:paraId="6EB3679C"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Broker tone turned incrementally more constructive at the infrastructure and data layer: BofA raised its infrastructure-software peer target multiple to 5.8x from 5.0x EV/CY27E revenue, while UBS procurement checks left application software as the funding source, not the beneficiary, of AI budgets.</w:t>
      </w:r>
    </w:p>
    <w:p w14:paraId="6EB3679D"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Hybrid seat-plus-consumption pricing became the operating default this quarter — 50% of ServiceNow net-new business is now non-seat-based and Microsoft moved GitHub Copilot to usage pricing on June 1 — and the transition friction is surfacing first in bookings and renewals.</w:t>
      </w:r>
    </w:p>
    <w:p w14:paraId="6EB3679E"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Company AI monetization kept accelerating against the cautious broker view: Microsoft AI ARR passed $37bn, up 123% y/y, and Salesforce agentic ARR passed $1bn; the layer-vulnerability ranking is unchanged with applications most at risk.</w:t>
      </w:r>
    </w:p>
    <w:p w14:paraId="6EB3679F" w14:textId="77777777" w:rsidR="00813CB8" w:rsidRPr="00312B84" w:rsidRDefault="002B4BED">
      <w:pPr>
        <w:spacing w:before="160" w:after="80"/>
        <w:ind w:left="200"/>
        <w:rPr>
          <w:sz w:val="24"/>
          <w:szCs w:val="24"/>
        </w:rPr>
      </w:pPr>
      <w:r w:rsidRPr="00312B84">
        <w:rPr>
          <w:rFonts w:eastAsia="Calibri Light"/>
          <w:b/>
          <w:bCs/>
          <w:color w:val="1C3660"/>
          <w:sz w:val="24"/>
          <w:szCs w:val="24"/>
        </w:rPr>
        <w:t>Private credit &amp; public BDC industry</w:t>
      </w:r>
    </w:p>
    <w:p w14:paraId="6EB367A0"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Credit migration continued: average non-accruals across JPM's 29-BDC universe rose 40bp QoQ to 2.46% of cost in 1Q26, and Morgan Stanley's broader universe average of 2.8% is a five-year high, with the sharpest sector rises in IT and healthcare.</w:t>
      </w:r>
    </w:p>
    <w:p w14:paraId="6EB367A1"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The two largest losses of the software private-credit cycle crystallized in April — Medallia was handed to lenders in a $5.1bn equity wipeout and Affordable Care defaulted on a $1.4bn loan — yet JPM's credit team stayed overweight BDC debt as index spreads retraced to ~217bp.</w:t>
      </w:r>
    </w:p>
    <w:p w14:paraId="6EB367A2"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Non-traded BDC redemption requests averaged 12.2% of NAV in 2Q against 5% caps that held everywhere; estimated net outflows of $3.1bn equal 2.56% of NAV, and KKR's $300mm support of FS KKR set the template for sponsor backstops.</w:t>
      </w:r>
    </w:p>
    <w:p w14:paraId="6EB367A3" w14:textId="77777777" w:rsidR="00813CB8" w:rsidRPr="00312B84" w:rsidRDefault="002B4BED">
      <w:pPr>
        <w:spacing w:before="160" w:after="80"/>
        <w:ind w:left="200"/>
        <w:rPr>
          <w:sz w:val="24"/>
          <w:szCs w:val="24"/>
        </w:rPr>
      </w:pPr>
      <w:r w:rsidRPr="00312B84">
        <w:rPr>
          <w:rFonts w:eastAsia="Calibri Light"/>
          <w:b/>
          <w:bCs/>
          <w:color w:val="1C3660"/>
          <w:sz w:val="24"/>
          <w:szCs w:val="24"/>
        </w:rPr>
        <w:t>OTF update</w:t>
      </w:r>
    </w:p>
    <w:p w14:paraId="6EB367A4"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Q2'26 NAV was $16.48, down $0.01 QoQ; non-accruals rose to 0.6% of cost from 0.3% on one small software addition while staying at 0.1% of fair value; GAAP NII of $0.30 covered 75% of the $0.40 distribution.</w:t>
      </w:r>
    </w:p>
    <w:p w14:paraId="6EB367A5"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Net leverage rose to 0.93x from 0.85x — the first quarter inside the 0.90–1.25x target — funded by $500mm of new 6.50% Oct-2029 notes and $280mm of net SPV draws; PIK fell to 12.5% of investment income from 13.1%.</w:t>
      </w:r>
    </w:p>
    <w:p w14:paraId="6EB367A6"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Litigation escalated from investigation notices to a filed complaint: a Section 36(b)</w:t>
      </w:r>
      <w:r w:rsidRPr="00312B84">
        <w:rPr>
          <w:rFonts w:eastAsia="Calibri Light"/>
          <w:color w:val="000000"/>
          <w:sz w:val="24"/>
          <w:szCs w:val="24"/>
          <w:vertAlign w:val="superscript"/>
        </w:rPr>
        <w:t>1</w:t>
      </w:r>
      <w:r w:rsidRPr="00312B84">
        <w:rPr>
          <w:rFonts w:eastAsia="Calibri Light"/>
          <w:color w:val="000000"/>
          <w:sz w:val="24"/>
          <w:szCs w:val="24"/>
        </w:rPr>
        <w:t xml:space="preserve"> excessive-fee suit against the OTF adviser was filed June 18 in the S.D.N.Y., alleging inflated marks and fees charged on non-cash PIK accruals.</w:t>
      </w:r>
    </w:p>
    <w:p w14:paraId="6EB367A7" w14:textId="77777777" w:rsidR="00813CB8" w:rsidRPr="00312B84" w:rsidRDefault="002B4BED">
      <w:pPr>
        <w:spacing w:after="200"/>
        <w:ind w:left="200"/>
        <w:rPr>
          <w:sz w:val="24"/>
          <w:szCs w:val="24"/>
        </w:rPr>
      </w:pPr>
      <w:r w:rsidRPr="00312B84">
        <w:rPr>
          <w:rFonts w:ascii="Arial" w:eastAsia="Arial" w:hAnsi="Arial" w:cs="Arial"/>
          <w:i/>
          <w:iCs/>
          <w:color w:val="5A6B7B"/>
          <w:sz w:val="13"/>
          <w:szCs w:val="13"/>
        </w:rPr>
        <w:t>1 Section 36(b) of the Investment Company Act imposes a fiduciary duty on a fund's investment adviser with respect to the compensation it receives; shareholders may sue the adviser directly for excessive fees.</w:t>
      </w:r>
    </w:p>
    <w:p w14:paraId="6EB367A8" w14:textId="7C56D0DE" w:rsidR="00813CB8" w:rsidRPr="00312B84" w:rsidRDefault="002B4BED">
      <w:pPr>
        <w:pStyle w:val="1"/>
        <w:spacing w:before="620" w:after="160"/>
        <w:rPr>
          <w:sz w:val="24"/>
          <w:szCs w:val="24"/>
        </w:rPr>
      </w:pPr>
      <w:r w:rsidRPr="00312B84">
        <w:rPr>
          <w:rFonts w:eastAsia="Calibri Light"/>
          <w:b/>
          <w:bCs/>
          <w:color w:val="1C3660"/>
          <w:sz w:val="48"/>
          <w:szCs w:val="48"/>
        </w:rPr>
        <w:lastRenderedPageBreak/>
        <w:t>1. News</w:t>
      </w:r>
    </w:p>
    <w:p w14:paraId="6EB367A9" w14:textId="77777777" w:rsidR="00813CB8" w:rsidRPr="00312B84" w:rsidRDefault="002B4BED">
      <w:pPr>
        <w:pStyle w:val="2"/>
        <w:spacing w:before="560" w:after="140"/>
        <w:rPr>
          <w:sz w:val="22"/>
          <w:szCs w:val="22"/>
        </w:rPr>
      </w:pPr>
      <w:r w:rsidRPr="00312B84">
        <w:rPr>
          <w:rFonts w:eastAsia="Calibri Light"/>
          <w:color w:val="001F5F"/>
          <w:sz w:val="40"/>
          <w:szCs w:val="40"/>
        </w:rPr>
        <w:t>1.1 Key news on Blue Owl &amp; OTF</w:t>
      </w:r>
    </w:p>
    <w:p w14:paraId="6EB367AA" w14:textId="77777777" w:rsidR="00813CB8" w:rsidRPr="00312B84" w:rsidRDefault="002B4BED">
      <w:pPr>
        <w:pStyle w:val="a4"/>
        <w:numPr>
          <w:ilvl w:val="0"/>
          <w:numId w:val="2"/>
        </w:numPr>
        <w:spacing w:after="100"/>
        <w:jc w:val="both"/>
        <w:rPr>
          <w:sz w:val="24"/>
          <w:szCs w:val="24"/>
        </w:rPr>
      </w:pPr>
      <w:r w:rsidRPr="00312B84">
        <w:rPr>
          <w:rFonts w:eastAsia="Calibri Light"/>
          <w:b/>
          <w:bCs/>
          <w:color w:val="000000"/>
          <w:sz w:val="24"/>
          <w:szCs w:val="24"/>
        </w:rPr>
        <w:t xml:space="preserve">First excessive-fee complaint filed directly against OTF's adviser. </w:t>
      </w:r>
      <w:r w:rsidRPr="00312B84">
        <w:rPr>
          <w:rFonts w:eastAsia="Calibri Light"/>
          <w:color w:val="000000"/>
          <w:sz w:val="24"/>
          <w:szCs w:val="24"/>
        </w:rPr>
        <w:t>On June 18 two stockholders sued Blue Owl Technology Credit Advisors in the S.D.N.Y. under Section 36(b) of the Investment Company Act, alleging the adviser inflated asset marks to extract fees: advisory fees grew 191% from 2021 to 2025 against 134% asset growth, and fees are charged on PIK accruals that reached ~$43mm, about 25% of net investment income, in Q1'26. This escalates last quarter's plaintiff-firm investigation notices into discovery risk on OTF's Level-3 marks — though Section 36(b) plaintiffs have historically never prevailed at trial, so near-term economics are unchanged.</w:t>
      </w:r>
      <w:r w:rsidRPr="00312B84">
        <w:rPr>
          <w:rFonts w:eastAsia="Calibri Light"/>
          <w:i/>
          <w:iCs/>
          <w:color w:val="5A6B7B"/>
          <w:sz w:val="22"/>
          <w:szCs w:val="22"/>
        </w:rPr>
        <w:t xml:space="preserve">  Source: </w:t>
      </w:r>
      <w:hyperlink r:id="rId11" w:history="1">
        <w:r w:rsidRPr="00312B84">
          <w:rPr>
            <w:rFonts w:eastAsia="Calibri Light"/>
            <w:color w:val="179DD7"/>
            <w:sz w:val="22"/>
            <w:szCs w:val="22"/>
            <w:u w:val="single"/>
          </w:rPr>
          <w:t>investmentnews.com</w:t>
        </w:r>
      </w:hyperlink>
    </w:p>
    <w:p w14:paraId="6EB367AB"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Q2'26 results, August 5: NAV $16.48 vs $16.49, NII $0.30, non-accruals 0.6% of cost and 0.1% of fair value, net leverage 0.93x, $55mm of stock repurchased in the quarter and ~$170mm over three quarters. The stock rose 7.4% on the print to $11.20, still ~0.7x NAV; management noted the discount implies roughly 40% portfolio defaults at 50-cent recoveries and expects lock-up-related selling to fade.</w:t>
      </w:r>
      <w:r w:rsidRPr="00312B84">
        <w:rPr>
          <w:rFonts w:eastAsia="Calibri Light"/>
          <w:i/>
          <w:iCs/>
          <w:color w:val="5A6B7B"/>
          <w:sz w:val="22"/>
          <w:szCs w:val="22"/>
        </w:rPr>
        <w:t xml:space="preserve">  Source: </w:t>
      </w:r>
      <w:hyperlink r:id="rId12" w:history="1">
        <w:r w:rsidRPr="00312B84">
          <w:rPr>
            <w:rFonts w:eastAsia="Calibri Light"/>
            <w:color w:val="179DD7"/>
            <w:sz w:val="22"/>
            <w:szCs w:val="22"/>
            <w:u w:val="single"/>
          </w:rPr>
          <w:t>prnewswire.com</w:t>
        </w:r>
      </w:hyperlink>
    </w:p>
    <w:p w14:paraId="6EB367AC"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Second consecutive quarter of capped redemptions at Blue Owl's non-traded tech-credit funds, disclosed July 2: OCIC requests eased to 18.8% of shares from 21.9% and OTIC to 38.1% from 40.7%, $4.7bn combined vs $5.4bn in 1Q; both funds again honored only the 5% quarterly cap. OCIC holds $11.6bn of cash and capacity, about twelve quarters at the cap. The overhang on the franchise is stabilizing, not resolved; 3Q requests publish around early October.</w:t>
      </w:r>
      <w:r w:rsidRPr="00312B84">
        <w:rPr>
          <w:rFonts w:eastAsia="Calibri Light"/>
          <w:i/>
          <w:iCs/>
          <w:color w:val="5A6B7B"/>
          <w:sz w:val="22"/>
          <w:szCs w:val="22"/>
        </w:rPr>
        <w:t xml:space="preserve">  Source: </w:t>
      </w:r>
      <w:hyperlink r:id="rId13" w:history="1">
        <w:r w:rsidRPr="00312B84">
          <w:rPr>
            <w:rFonts w:eastAsia="Calibri Light"/>
            <w:color w:val="179DD7"/>
            <w:sz w:val="22"/>
            <w:szCs w:val="22"/>
            <w:u w:val="single"/>
          </w:rPr>
          <w:t>semafor.com</w:t>
        </w:r>
      </w:hyperlink>
    </w:p>
    <w:p w14:paraId="6EB367AD"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OTF priced $500mm of 6.50% senior unsecured notes due October 2029 in early June; KBRA assigned BBB. Unsecured IG market access at a mid-6% coupon despite sector redemption stress is funding-side validation, at a cost of debt above much of the legacy stack.</w:t>
      </w:r>
      <w:r w:rsidRPr="00312B84">
        <w:rPr>
          <w:rFonts w:eastAsia="Calibri Light"/>
          <w:i/>
          <w:iCs/>
          <w:color w:val="5A6B7B"/>
          <w:sz w:val="22"/>
          <w:szCs w:val="22"/>
        </w:rPr>
        <w:t xml:space="preserve">  Source: </w:t>
      </w:r>
      <w:hyperlink r:id="rId14" w:history="1">
        <w:r w:rsidRPr="00312B84">
          <w:rPr>
            <w:rFonts w:eastAsia="Calibri Light"/>
            <w:color w:val="179DD7"/>
            <w:sz w:val="22"/>
            <w:szCs w:val="22"/>
            <w:u w:val="single"/>
          </w:rPr>
          <w:t>businesswire.com</w:t>
        </w:r>
      </w:hyperlink>
    </w:p>
    <w:p w14:paraId="6EB367AE"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Moody's cut OCIC's outlook to negative on April 8, Baa2 affirmed, citing peer-high redemption requests and expected capital erosion — the first agency acknowledgment that the redemption run is a credit issue for Blue Owl's non-traded vehicles. No OTF-level rating action followed; the contagion channel to OTF is reputational and funding-cost, not direct.</w:t>
      </w:r>
      <w:r w:rsidRPr="00312B84">
        <w:rPr>
          <w:rFonts w:eastAsia="Calibri Light"/>
          <w:i/>
          <w:iCs/>
          <w:color w:val="5A6B7B"/>
          <w:sz w:val="22"/>
          <w:szCs w:val="22"/>
        </w:rPr>
        <w:t xml:space="preserve">  Source: </w:t>
      </w:r>
      <w:hyperlink r:id="rId15" w:history="1">
        <w:r w:rsidRPr="00312B84">
          <w:rPr>
            <w:rFonts w:eastAsia="Calibri Light"/>
            <w:color w:val="179DD7"/>
            <w:sz w:val="22"/>
            <w:szCs w:val="22"/>
            <w:u w:val="single"/>
          </w:rPr>
          <w:t>alternativecreditinvestor.com</w:t>
        </w:r>
      </w:hyperlink>
    </w:p>
    <w:p w14:paraId="6EB367AF"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OCIC itself returned to the IG bond market on June 8 with $500mm of 5-year notes at roughly T+255, and Blue Owl Capital's Q2 results beat with shares recovering about 21% off the July lows — the manager-level franchise is proving more resilient than the redemption narrative implied.</w:t>
      </w:r>
      <w:r w:rsidRPr="00312B84">
        <w:rPr>
          <w:rFonts w:eastAsia="Calibri Light"/>
          <w:i/>
          <w:iCs/>
          <w:color w:val="5A6B7B"/>
          <w:sz w:val="22"/>
          <w:szCs w:val="22"/>
        </w:rPr>
        <w:t xml:space="preserve">  Source: </w:t>
      </w:r>
      <w:hyperlink r:id="rId16" w:history="1">
        <w:r w:rsidRPr="00312B84">
          <w:rPr>
            <w:rFonts w:eastAsia="Calibri Light"/>
            <w:color w:val="179DD7"/>
            <w:sz w:val="22"/>
            <w:szCs w:val="22"/>
            <w:u w:val="single"/>
          </w:rPr>
          <w:t>bloomberg.com</w:t>
        </w:r>
      </w:hyperlink>
    </w:p>
    <w:p w14:paraId="6EB367B0"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Sell-side tail-risk framing persists: a July UBS note argued private credit defaults could reach ~15% in software-heavy funds, citing Blue Owl's $4.7bn of 2Q redemption requests. Single-source and unverified, but it keeps the software-credit narrative over the stock regardless of OTF's 0.1% fair-value non-accruals.</w:t>
      </w:r>
      <w:r w:rsidRPr="00312B84">
        <w:rPr>
          <w:rFonts w:eastAsia="Calibri Light"/>
          <w:i/>
          <w:iCs/>
          <w:color w:val="5A6B7B"/>
          <w:sz w:val="22"/>
          <w:szCs w:val="22"/>
        </w:rPr>
        <w:t xml:space="preserve">  Source: </w:t>
      </w:r>
      <w:hyperlink r:id="rId17" w:history="1">
        <w:r w:rsidRPr="00312B84">
          <w:rPr>
            <w:rFonts w:eastAsia="Calibri Light"/>
            <w:color w:val="179DD7"/>
            <w:sz w:val="22"/>
            <w:szCs w:val="22"/>
            <w:u w:val="single"/>
          </w:rPr>
          <w:t>cryptobriefing.com</w:t>
        </w:r>
      </w:hyperlink>
    </w:p>
    <w:p w14:paraId="6EB367B1" w14:textId="77777777" w:rsidR="00813CB8" w:rsidRPr="00312B84" w:rsidRDefault="002B4BED">
      <w:pPr>
        <w:pStyle w:val="2"/>
        <w:spacing w:before="560" w:after="140"/>
        <w:rPr>
          <w:sz w:val="22"/>
          <w:szCs w:val="22"/>
        </w:rPr>
      </w:pPr>
      <w:r w:rsidRPr="00312B84">
        <w:rPr>
          <w:rFonts w:eastAsia="Calibri Light"/>
          <w:color w:val="001F5F"/>
          <w:sz w:val="40"/>
          <w:szCs w:val="40"/>
        </w:rPr>
        <w:t>1.2 Key private credit news</w:t>
      </w:r>
    </w:p>
    <w:p w14:paraId="6EB367B2" w14:textId="77777777" w:rsidR="00813CB8" w:rsidRPr="00312B84" w:rsidRDefault="002B4BED">
      <w:pPr>
        <w:pStyle w:val="a4"/>
        <w:numPr>
          <w:ilvl w:val="0"/>
          <w:numId w:val="2"/>
        </w:numPr>
        <w:spacing w:after="100"/>
        <w:jc w:val="both"/>
        <w:rPr>
          <w:sz w:val="24"/>
          <w:szCs w:val="24"/>
        </w:rPr>
      </w:pPr>
      <w:r w:rsidRPr="00312B84">
        <w:rPr>
          <w:rFonts w:eastAsia="Calibri Light"/>
          <w:b/>
          <w:bCs/>
          <w:color w:val="000000"/>
          <w:sz w:val="24"/>
          <w:szCs w:val="24"/>
        </w:rPr>
        <w:t xml:space="preserve">Medallia handed to lenders — a $5.1bn equity wipeout. </w:t>
      </w:r>
      <w:r w:rsidRPr="00312B84">
        <w:rPr>
          <w:rFonts w:eastAsia="Calibri Light"/>
          <w:color w:val="000000"/>
          <w:sz w:val="24"/>
          <w:szCs w:val="24"/>
        </w:rPr>
        <w:t>Thoma Bravo agreed in late April to transfer the customer-experience software company, bought for $6.4bn in 2021, to creditors Blackstone, KKR, Apollo and Antares holding $3bn of debt; BDC marks on the loans sat at 74–79 cents beforehand. The largest software-LBO equity wipeout of the cycle, and direct evidence that 2021-vintage software buyout debt is where private credit losses are crystallizing — distressed software loans market-wide stood near $47bn.</w:t>
      </w:r>
      <w:r w:rsidRPr="00312B84">
        <w:rPr>
          <w:rFonts w:eastAsia="Calibri Light"/>
          <w:i/>
          <w:iCs/>
          <w:color w:val="5A6B7B"/>
          <w:sz w:val="22"/>
          <w:szCs w:val="22"/>
        </w:rPr>
        <w:t xml:space="preserve">  Source: </w:t>
      </w:r>
      <w:hyperlink r:id="rId18" w:history="1">
        <w:r w:rsidRPr="00312B84">
          <w:rPr>
            <w:rFonts w:eastAsia="Calibri Light"/>
            <w:color w:val="179DD7"/>
            <w:sz w:val="22"/>
            <w:szCs w:val="22"/>
            <w:u w:val="single"/>
          </w:rPr>
          <w:t>in.investing.com</w:t>
        </w:r>
      </w:hyperlink>
    </w:p>
    <w:p w14:paraId="6EB367B3"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lastRenderedPageBreak/>
        <w:t>Affordable Care defaulted on a $1.4bn private credit loan in April, with Blackstone and KKR moving to take control of the dental-services provider bought by Harvest Partners for ~$2.7bn in 2021 — stress is not software-only; 2021-vintage healthcare-services unitranches are defaulting too.</w:t>
      </w:r>
      <w:r w:rsidRPr="00312B84">
        <w:rPr>
          <w:rFonts w:eastAsia="Calibri Light"/>
          <w:i/>
          <w:iCs/>
          <w:color w:val="5A6B7B"/>
          <w:sz w:val="22"/>
          <w:szCs w:val="22"/>
        </w:rPr>
        <w:t xml:space="preserve">  Source: </w:t>
      </w:r>
      <w:hyperlink r:id="rId19" w:history="1">
        <w:r w:rsidRPr="00312B84">
          <w:rPr>
            <w:rFonts w:eastAsia="Calibri Light"/>
            <w:color w:val="179DD7"/>
            <w:sz w:val="22"/>
            <w:szCs w:val="22"/>
            <w:u w:val="single"/>
          </w:rPr>
          <w:t>privateequitywire.co.uk</w:t>
        </w:r>
      </w:hyperlink>
    </w:p>
    <w:p w14:paraId="6EB367B4"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KKR injected $300mm of sponsor capital into FS KKR alongside Q2 results — the first large explicit sponsor-support action of this downturn. JPM's credit team reads manager support of this kind as a sector-wide backstop; it is also an admission that BDC balance sheets need parent capital.</w:t>
      </w:r>
      <w:r w:rsidRPr="00312B84">
        <w:rPr>
          <w:rFonts w:eastAsia="Calibri Light"/>
          <w:i/>
          <w:iCs/>
          <w:color w:val="5A6B7B"/>
          <w:sz w:val="22"/>
          <w:szCs w:val="22"/>
        </w:rPr>
        <w:t xml:space="preserve">  Source: </w:t>
      </w:r>
      <w:hyperlink r:id="rId20" w:history="1">
        <w:r w:rsidRPr="00312B84">
          <w:rPr>
            <w:rFonts w:eastAsia="Calibri Light"/>
            <w:color w:val="179DD7"/>
            <w:sz w:val="22"/>
            <w:szCs w:val="22"/>
            <w:u w:val="single"/>
          </w:rPr>
          <w:t>privateequitywire.co.uk</w:t>
        </w:r>
      </w:hyperlink>
    </w:p>
    <w:p w14:paraId="6EB367B5"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Marks moved at blue-chip platforms in Q2: Blackstone Secured Lending posted its largest quarterly NAV decline in six years with its bottom decile marked at 70 cents vs 73, and BlackRock TCP moved 48% of a $523mm loan pool into a continuation vehicle — liquidity engineering for credit tails is spreading and invites mark-management disputes.</w:t>
      </w:r>
      <w:r w:rsidRPr="00312B84">
        <w:rPr>
          <w:rFonts w:eastAsia="Calibri Light"/>
          <w:i/>
          <w:iCs/>
          <w:color w:val="5A6B7B"/>
          <w:sz w:val="22"/>
          <w:szCs w:val="22"/>
        </w:rPr>
        <w:t xml:space="preserve">  Source: </w:t>
      </w:r>
      <w:hyperlink r:id="rId21" w:history="1">
        <w:r w:rsidRPr="00312B84">
          <w:rPr>
            <w:rFonts w:eastAsia="Calibri Light"/>
            <w:color w:val="179DD7"/>
            <w:sz w:val="22"/>
            <w:szCs w:val="22"/>
            <w:u w:val="single"/>
          </w:rPr>
          <w:t>privateequitywire.co.uk</w:t>
        </w:r>
      </w:hyperlink>
    </w:p>
    <w:p w14:paraId="6EB367B6"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The BDC litigation wave broadened beyond Blue Owl: a Section 36(b) suit against Ares Capital's adviser in May alleges fees up 53% to $773mm with look-through leverage of 2.06x vs the 1.12x headline, and securities class actions are pending against BlackRock TCP, Hercules and FS KKR — Level-3 marks and PIK-linked fees are now a sector-wide legal theme.</w:t>
      </w:r>
      <w:r w:rsidRPr="00312B84">
        <w:rPr>
          <w:rFonts w:eastAsia="Calibri Light"/>
          <w:i/>
          <w:iCs/>
          <w:color w:val="5A6B7B"/>
          <w:sz w:val="22"/>
          <w:szCs w:val="22"/>
        </w:rPr>
        <w:t xml:space="preserve">  Source: </w:t>
      </w:r>
      <w:hyperlink r:id="rId22" w:history="1">
        <w:r w:rsidRPr="00312B84">
          <w:rPr>
            <w:rFonts w:eastAsia="Calibri Light"/>
            <w:color w:val="179DD7"/>
            <w:sz w:val="22"/>
            <w:szCs w:val="22"/>
            <w:u w:val="single"/>
          </w:rPr>
          <w:t>octus.com</w:t>
        </w:r>
      </w:hyperlink>
    </w:p>
    <w:p w14:paraId="6EB367B7"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The Q2 BDC reporting season read as stabilization, not resolution: non-accruals at cost rose at ARCC to 2.4% and OBDC to 2.8% while improving at FS KKR and Oaktree; origination stayed subdued, with Blue Owl vehicles repaying $747mm against $319mm of new commitments.</w:t>
      </w:r>
      <w:r w:rsidRPr="00312B84">
        <w:rPr>
          <w:rFonts w:eastAsia="Calibri Light"/>
          <w:i/>
          <w:iCs/>
          <w:color w:val="5A6B7B"/>
          <w:sz w:val="22"/>
          <w:szCs w:val="22"/>
        </w:rPr>
        <w:t xml:space="preserve">  Source: </w:t>
      </w:r>
      <w:hyperlink r:id="rId23" w:history="1">
        <w:r w:rsidRPr="00312B84">
          <w:rPr>
            <w:rFonts w:eastAsia="Calibri Light"/>
            <w:color w:val="179DD7"/>
            <w:sz w:val="22"/>
            <w:szCs w:val="22"/>
            <w:u w:val="single"/>
          </w:rPr>
          <w:t>privateequitywire.co.uk</w:t>
        </w:r>
      </w:hyperlink>
    </w:p>
    <w:p w14:paraId="6EB367B8" w14:textId="77777777" w:rsidR="00813CB8" w:rsidRPr="00312B84" w:rsidRDefault="002B4BED">
      <w:pPr>
        <w:pStyle w:val="2"/>
        <w:spacing w:before="560" w:after="140"/>
        <w:rPr>
          <w:sz w:val="22"/>
          <w:szCs w:val="22"/>
        </w:rPr>
      </w:pPr>
      <w:r w:rsidRPr="00312B84">
        <w:rPr>
          <w:rFonts w:eastAsia="Calibri Light"/>
          <w:color w:val="001F5F"/>
          <w:sz w:val="40"/>
          <w:szCs w:val="40"/>
        </w:rPr>
        <w:t>1.3 AI related news</w:t>
      </w:r>
    </w:p>
    <w:p w14:paraId="6EB367B9"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Enterprise software spend is being re-priced as tokenized labor: a leading model developer's revenue run-rate passed $30bn, from $9bn at end-2025, alongside managed-agent tooling that collapses the time to build enterprise agents; roughly $1.4tn of SaaS market value has repriced since early 2025 and the demand question for every application vendor is now which workflows agents absorb first.</w:t>
      </w:r>
      <w:r w:rsidRPr="00312B84">
        <w:rPr>
          <w:rFonts w:eastAsia="Calibri Light"/>
          <w:i/>
          <w:iCs/>
          <w:color w:val="5A6B7B"/>
          <w:sz w:val="22"/>
          <w:szCs w:val="22"/>
        </w:rPr>
        <w:t xml:space="preserve">  Source: </w:t>
      </w:r>
      <w:hyperlink r:id="rId24" w:history="1">
        <w:r w:rsidRPr="00312B84">
          <w:rPr>
            <w:rFonts w:eastAsia="Calibri Light"/>
            <w:color w:val="179DD7"/>
            <w:sz w:val="22"/>
            <w:szCs w:val="22"/>
            <w:u w:val="single"/>
          </w:rPr>
          <w:t>cnbc.com</w:t>
        </w:r>
      </w:hyperlink>
    </w:p>
    <w:p w14:paraId="6EB367BA"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SaaS economics are being rewritten from the cost side: AI inference introduces genuine variable cost of goods into ~80%-gross-margin businesses — one marketing-tech company grew revenue 38% while costs rose 349% — pushing the industry toward a transitional Rule of 30 as vendors reinvest against AI-native entrants; margin durability, not growth, becomes the variable to underwrite.</w:t>
      </w:r>
      <w:r w:rsidRPr="00312B84">
        <w:rPr>
          <w:rFonts w:eastAsia="Calibri Light"/>
          <w:i/>
          <w:iCs/>
          <w:color w:val="5A6B7B"/>
          <w:sz w:val="22"/>
          <w:szCs w:val="22"/>
        </w:rPr>
        <w:t xml:space="preserve">  Source: </w:t>
      </w:r>
      <w:hyperlink r:id="rId25" w:history="1">
        <w:r w:rsidRPr="00312B84">
          <w:rPr>
            <w:rFonts w:eastAsia="Calibri Light"/>
            <w:color w:val="179DD7"/>
            <w:sz w:val="22"/>
            <w:szCs w:val="22"/>
            <w:u w:val="single"/>
          </w:rPr>
          <w:t>bain.com</w:t>
        </w:r>
      </w:hyperlink>
    </w:p>
    <w:p w14:paraId="6EB367BB"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The offensive case for incumbents was quantified at ~$100bn in the US alone: agentic AI that automates cross-system labor — the human coordination between ERP, CRM, billing and ticketing that rules-based automation never captured — converts labor budgets into software spend, and vendors holding proprietary workflow data are best positioned to capture it.</w:t>
      </w:r>
      <w:r w:rsidRPr="00312B84">
        <w:rPr>
          <w:rFonts w:eastAsia="Calibri Light"/>
          <w:i/>
          <w:iCs/>
          <w:color w:val="5A6B7B"/>
          <w:sz w:val="22"/>
          <w:szCs w:val="22"/>
        </w:rPr>
        <w:t xml:space="preserve">  Source: </w:t>
      </w:r>
      <w:hyperlink r:id="rId26" w:history="1">
        <w:r w:rsidRPr="00312B84">
          <w:rPr>
            <w:rFonts w:eastAsia="Calibri Light"/>
            <w:color w:val="179DD7"/>
            <w:sz w:val="22"/>
            <w:szCs w:val="22"/>
            <w:u w:val="single"/>
          </w:rPr>
          <w:t>bain.com</w:t>
        </w:r>
      </w:hyperlink>
    </w:p>
    <w:p w14:paraId="6EB367BC"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Research across 45 public SaaS companies concluded the build-vs-buy shift is real but uneven: AI coding tools let enterprises rebuild commodity workflow software in-house, while SaaS powered by pooled cross-customer data performing predictive tasks retains pricing power — software credit should be sorted by data moat and task type, not treated as one risk bucket.</w:t>
      </w:r>
      <w:r w:rsidRPr="00312B84">
        <w:rPr>
          <w:rFonts w:eastAsia="Calibri Light"/>
          <w:i/>
          <w:iCs/>
          <w:color w:val="5A6B7B"/>
          <w:sz w:val="22"/>
          <w:szCs w:val="22"/>
        </w:rPr>
        <w:t xml:space="preserve">  Source: </w:t>
      </w:r>
      <w:hyperlink r:id="rId27" w:history="1">
        <w:r w:rsidRPr="00312B84">
          <w:rPr>
            <w:rFonts w:eastAsia="Calibri Light"/>
            <w:color w:val="179DD7"/>
            <w:sz w:val="22"/>
            <w:szCs w:val="22"/>
            <w:u w:val="single"/>
          </w:rPr>
          <w:t>hbr.org</w:t>
        </w:r>
      </w:hyperlink>
    </w:p>
    <w:p w14:paraId="6EB367BD"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Software producers themselves are restructuring: revenue at leading software companies grew 22% faster than headcount over the past year, and the standard 7–9-person engineering squad is giving way to 3–5-person hybrid-agentic pods — structurally lower headcount intensity, and lower seat counts for the tools sold into those teams.</w:t>
      </w:r>
      <w:r w:rsidRPr="00312B84">
        <w:rPr>
          <w:rFonts w:eastAsia="Calibri Light"/>
          <w:i/>
          <w:iCs/>
          <w:color w:val="5A6B7B"/>
          <w:sz w:val="22"/>
          <w:szCs w:val="22"/>
        </w:rPr>
        <w:t xml:space="preserve">  Source: </w:t>
      </w:r>
      <w:hyperlink r:id="rId28" w:history="1">
        <w:r w:rsidRPr="00312B84">
          <w:rPr>
            <w:rFonts w:eastAsia="Calibri Light"/>
            <w:color w:val="179DD7"/>
            <w:sz w:val="22"/>
            <w:szCs w:val="22"/>
            <w:u w:val="single"/>
          </w:rPr>
          <w:t>bain.com</w:t>
        </w:r>
      </w:hyperlink>
    </w:p>
    <w:p w14:paraId="6EB367BE"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 xml:space="preserve">Monetization began moving from seats to agent consumption: major platforms started billing directly for agent usage and standing up enterprise agent-governance layers during the quarter — an early </w:t>
      </w:r>
      <w:r w:rsidRPr="00312B84">
        <w:rPr>
          <w:rFonts w:eastAsia="Calibri Light"/>
          <w:color w:val="000000"/>
          <w:sz w:val="24"/>
          <w:szCs w:val="24"/>
        </w:rPr>
        <w:lastRenderedPageBreak/>
        <w:t>template for recapturing value when the user is software, and an accelerant of the industry-wide shift toward usage and outcome pricing.</w:t>
      </w:r>
      <w:r w:rsidRPr="00312B84">
        <w:rPr>
          <w:rFonts w:eastAsia="Calibri Light"/>
          <w:i/>
          <w:iCs/>
          <w:color w:val="5A6B7B"/>
          <w:sz w:val="22"/>
          <w:szCs w:val="22"/>
        </w:rPr>
        <w:t xml:space="preserve">  Source: </w:t>
      </w:r>
      <w:hyperlink r:id="rId29" w:history="1">
        <w:r w:rsidRPr="00312B84">
          <w:rPr>
            <w:rFonts w:eastAsia="Calibri Light"/>
            <w:color w:val="179DD7"/>
            <w:sz w:val="22"/>
            <w:szCs w:val="22"/>
            <w:u w:val="single"/>
          </w:rPr>
          <w:t>techtimes.com</w:t>
        </w:r>
      </w:hyperlink>
    </w:p>
    <w:p w14:paraId="6EB367BF"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The AI-software story formally crossed into credit: major financial press mapped how private equity and private credit concentrated in software ahead of the AI shock, connecting agent-substitution risk to the ~$47bn distressed software-loan stack — AI is now an underwriting variable in leveraged software credit, not just an equity theme.</w:t>
      </w:r>
      <w:r w:rsidRPr="00312B84">
        <w:rPr>
          <w:rFonts w:eastAsia="Calibri Light"/>
          <w:i/>
          <w:iCs/>
          <w:color w:val="5A6B7B"/>
          <w:sz w:val="22"/>
          <w:szCs w:val="22"/>
        </w:rPr>
        <w:t xml:space="preserve">  Source: </w:t>
      </w:r>
      <w:hyperlink r:id="rId30" w:history="1">
        <w:r w:rsidRPr="00312B84">
          <w:rPr>
            <w:rFonts w:eastAsia="Calibri Light"/>
            <w:color w:val="179DD7"/>
            <w:sz w:val="22"/>
            <w:szCs w:val="22"/>
            <w:u w:val="single"/>
          </w:rPr>
          <w:t>bloomberg.com</w:t>
        </w:r>
      </w:hyperlink>
    </w:p>
    <w:p w14:paraId="0919FDE3" w14:textId="77777777" w:rsidR="001942BE" w:rsidRPr="00312B84" w:rsidRDefault="001942BE">
      <w:pPr>
        <w:widowControl/>
        <w:rPr>
          <w:rFonts w:eastAsia="Calibri Light"/>
          <w:b/>
          <w:bCs/>
          <w:color w:val="1C3660"/>
          <w:sz w:val="48"/>
          <w:szCs w:val="48"/>
        </w:rPr>
      </w:pPr>
      <w:r w:rsidRPr="00312B84">
        <w:rPr>
          <w:rFonts w:eastAsia="Calibri Light"/>
          <w:b/>
          <w:bCs/>
          <w:color w:val="1C3660"/>
          <w:sz w:val="48"/>
          <w:szCs w:val="48"/>
        </w:rPr>
        <w:br w:type="page"/>
      </w:r>
    </w:p>
    <w:p w14:paraId="6EB367C0" w14:textId="4209B2B7" w:rsidR="00813CB8" w:rsidRPr="00312B84" w:rsidRDefault="002B4BED">
      <w:pPr>
        <w:pStyle w:val="1"/>
        <w:spacing w:before="620" w:after="160"/>
        <w:rPr>
          <w:sz w:val="24"/>
          <w:szCs w:val="24"/>
        </w:rPr>
      </w:pPr>
      <w:r w:rsidRPr="00312B84">
        <w:rPr>
          <w:rFonts w:eastAsia="Calibri Light"/>
          <w:b/>
          <w:bCs/>
          <w:color w:val="1C3660"/>
          <w:sz w:val="48"/>
          <w:szCs w:val="48"/>
        </w:rPr>
        <w:lastRenderedPageBreak/>
        <w:t>2. OTF update</w:t>
      </w:r>
    </w:p>
    <w:p w14:paraId="6EB367C1" w14:textId="77777777" w:rsidR="00813CB8" w:rsidRPr="00312B84" w:rsidRDefault="002B4BED">
      <w:pPr>
        <w:pStyle w:val="2"/>
        <w:spacing w:before="560" w:after="140"/>
        <w:rPr>
          <w:sz w:val="22"/>
          <w:szCs w:val="22"/>
        </w:rPr>
      </w:pPr>
      <w:r w:rsidRPr="00312B84">
        <w:rPr>
          <w:rFonts w:eastAsia="Calibri Light"/>
          <w:color w:val="001F5F"/>
          <w:sz w:val="40"/>
          <w:szCs w:val="40"/>
        </w:rPr>
        <w:t>2.1 Portfolio composition</w:t>
      </w:r>
    </w:p>
    <w:p w14:paraId="6EB367C2" w14:textId="77777777" w:rsidR="00813CB8" w:rsidRPr="00312B84" w:rsidRDefault="002B4BED">
      <w:pPr>
        <w:pStyle w:val="3"/>
        <w:spacing w:before="200" w:after="100"/>
        <w:ind w:left="110"/>
        <w:rPr>
          <w:sz w:val="21"/>
          <w:szCs w:val="21"/>
        </w:rPr>
      </w:pPr>
      <w:r w:rsidRPr="00312B84">
        <w:rPr>
          <w:rFonts w:eastAsia="Calibri Light"/>
          <w:color w:val="001F5F"/>
          <w:sz w:val="28"/>
          <w:szCs w:val="28"/>
        </w:rPr>
        <w:t>Capital structure</w:t>
      </w:r>
    </w:p>
    <w:tbl>
      <w:tblPr>
        <w:tblW w:w="10244"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CellMar>
          <w:left w:w="10" w:type="dxa"/>
          <w:right w:w="10" w:type="dxa"/>
        </w:tblCellMar>
        <w:tblLook w:val="04A0" w:firstRow="1" w:lastRow="0" w:firstColumn="1" w:lastColumn="0" w:noHBand="0" w:noVBand="1"/>
      </w:tblPr>
      <w:tblGrid>
        <w:gridCol w:w="4097"/>
        <w:gridCol w:w="1844"/>
        <w:gridCol w:w="1844"/>
        <w:gridCol w:w="2459"/>
      </w:tblGrid>
      <w:tr w:rsidR="00813CB8" w:rsidRPr="00312B84" w14:paraId="6EB367C7" w14:textId="77777777">
        <w:trPr>
          <w:cantSplit/>
          <w:tblHeader/>
        </w:trPr>
        <w:tc>
          <w:tcPr>
            <w:tcW w:w="4097" w:type="dxa"/>
            <w:shd w:val="clear" w:color="auto" w:fill="1F3B5B"/>
            <w:tcMar>
              <w:top w:w="90" w:type="dxa"/>
              <w:left w:w="120" w:type="dxa"/>
              <w:bottom w:w="90" w:type="dxa"/>
              <w:right w:w="120" w:type="dxa"/>
            </w:tcMar>
            <w:vAlign w:val="center"/>
          </w:tcPr>
          <w:p w14:paraId="6EB367C3" w14:textId="77777777" w:rsidR="00813CB8" w:rsidRPr="00312B84" w:rsidRDefault="002B4BED">
            <w:pPr>
              <w:spacing w:after="40"/>
              <w:rPr>
                <w:sz w:val="24"/>
                <w:szCs w:val="24"/>
              </w:rPr>
            </w:pPr>
            <w:r w:rsidRPr="00312B84">
              <w:rPr>
                <w:rFonts w:ascii="Arial" w:eastAsia="Arial" w:hAnsi="Arial" w:cs="Arial"/>
                <w:b/>
                <w:bCs/>
                <w:color w:val="FFFFFF"/>
                <w:sz w:val="20"/>
                <w:szCs w:val="20"/>
              </w:rPr>
              <w:t>Asset class</w:t>
            </w:r>
          </w:p>
        </w:tc>
        <w:tc>
          <w:tcPr>
            <w:tcW w:w="1844" w:type="dxa"/>
            <w:shd w:val="clear" w:color="auto" w:fill="1F3B5B"/>
            <w:tcMar>
              <w:top w:w="90" w:type="dxa"/>
              <w:left w:w="120" w:type="dxa"/>
              <w:bottom w:w="90" w:type="dxa"/>
              <w:right w:w="120" w:type="dxa"/>
            </w:tcMar>
            <w:vAlign w:val="center"/>
          </w:tcPr>
          <w:p w14:paraId="6EB367C4" w14:textId="77777777" w:rsidR="00813CB8" w:rsidRPr="00312B84" w:rsidRDefault="002B4BED">
            <w:pPr>
              <w:spacing w:after="40"/>
              <w:jc w:val="center"/>
              <w:rPr>
                <w:sz w:val="24"/>
                <w:szCs w:val="24"/>
              </w:rPr>
            </w:pPr>
            <w:r w:rsidRPr="00312B84">
              <w:rPr>
                <w:rFonts w:ascii="Arial" w:eastAsia="Arial" w:hAnsi="Arial" w:cs="Arial"/>
                <w:b/>
                <w:bCs/>
                <w:color w:val="FFFFFF"/>
                <w:sz w:val="20"/>
                <w:szCs w:val="20"/>
              </w:rPr>
              <w:t>Q1'26</w:t>
            </w:r>
          </w:p>
        </w:tc>
        <w:tc>
          <w:tcPr>
            <w:tcW w:w="1844" w:type="dxa"/>
            <w:shd w:val="clear" w:color="auto" w:fill="1F3B5B"/>
            <w:tcMar>
              <w:top w:w="90" w:type="dxa"/>
              <w:left w:w="120" w:type="dxa"/>
              <w:bottom w:w="90" w:type="dxa"/>
              <w:right w:w="120" w:type="dxa"/>
            </w:tcMar>
            <w:vAlign w:val="center"/>
          </w:tcPr>
          <w:p w14:paraId="6EB367C5" w14:textId="77777777" w:rsidR="00813CB8" w:rsidRPr="00312B84" w:rsidRDefault="002B4BED">
            <w:pPr>
              <w:spacing w:after="40"/>
              <w:jc w:val="center"/>
              <w:rPr>
                <w:sz w:val="24"/>
                <w:szCs w:val="24"/>
              </w:rPr>
            </w:pPr>
            <w:r w:rsidRPr="00312B84">
              <w:rPr>
                <w:rFonts w:ascii="Arial" w:eastAsia="Arial" w:hAnsi="Arial" w:cs="Arial"/>
                <w:b/>
                <w:bCs/>
                <w:color w:val="FFFFFF"/>
                <w:sz w:val="20"/>
                <w:szCs w:val="20"/>
              </w:rPr>
              <w:t>Q2'26</w:t>
            </w:r>
          </w:p>
        </w:tc>
        <w:tc>
          <w:tcPr>
            <w:tcW w:w="2459" w:type="dxa"/>
            <w:shd w:val="clear" w:color="auto" w:fill="1F3B5B"/>
            <w:tcMar>
              <w:top w:w="90" w:type="dxa"/>
              <w:left w:w="120" w:type="dxa"/>
              <w:bottom w:w="90" w:type="dxa"/>
              <w:right w:w="120" w:type="dxa"/>
            </w:tcMar>
            <w:vAlign w:val="center"/>
          </w:tcPr>
          <w:p w14:paraId="6EB367C6" w14:textId="77777777" w:rsidR="00813CB8" w:rsidRPr="00312B84" w:rsidRDefault="002B4BED">
            <w:pPr>
              <w:spacing w:after="40"/>
              <w:jc w:val="center"/>
              <w:rPr>
                <w:sz w:val="24"/>
                <w:szCs w:val="24"/>
              </w:rPr>
            </w:pPr>
            <w:r w:rsidRPr="00312B84">
              <w:rPr>
                <w:rFonts w:ascii="Arial" w:eastAsia="Arial" w:hAnsi="Arial" w:cs="Arial"/>
                <w:b/>
                <w:bCs/>
                <w:color w:val="FFFFFF"/>
                <w:sz w:val="20"/>
                <w:szCs w:val="20"/>
              </w:rPr>
              <w:t>QoQ Chg</w:t>
            </w:r>
          </w:p>
        </w:tc>
      </w:tr>
      <w:tr w:rsidR="00813CB8" w:rsidRPr="00312B84" w14:paraId="6EB367CC" w14:textId="77777777">
        <w:trPr>
          <w:cantSplit/>
        </w:trPr>
        <w:tc>
          <w:tcPr>
            <w:tcW w:w="4097" w:type="dxa"/>
            <w:shd w:val="clear" w:color="auto" w:fill="EEF2F6"/>
            <w:tcMar>
              <w:top w:w="90" w:type="dxa"/>
              <w:left w:w="120" w:type="dxa"/>
              <w:bottom w:w="90" w:type="dxa"/>
              <w:right w:w="120" w:type="dxa"/>
            </w:tcMar>
            <w:vAlign w:val="center"/>
          </w:tcPr>
          <w:p w14:paraId="6EB367C8" w14:textId="77777777" w:rsidR="00813CB8" w:rsidRPr="00312B84" w:rsidRDefault="002B4BED">
            <w:pPr>
              <w:spacing w:after="40"/>
              <w:rPr>
                <w:sz w:val="24"/>
                <w:szCs w:val="24"/>
              </w:rPr>
            </w:pPr>
            <w:r w:rsidRPr="00312B84">
              <w:rPr>
                <w:rFonts w:ascii="Arial" w:eastAsia="Arial" w:hAnsi="Arial" w:cs="Arial"/>
                <w:color w:val="22303C"/>
                <w:sz w:val="20"/>
                <w:szCs w:val="20"/>
              </w:rPr>
              <w:t>First-lien senior secured debt</w:t>
            </w:r>
          </w:p>
        </w:tc>
        <w:tc>
          <w:tcPr>
            <w:tcW w:w="1844" w:type="dxa"/>
            <w:tcMar>
              <w:top w:w="90" w:type="dxa"/>
              <w:left w:w="120" w:type="dxa"/>
              <w:bottom w:w="90" w:type="dxa"/>
              <w:right w:w="120" w:type="dxa"/>
            </w:tcMar>
            <w:vAlign w:val="center"/>
          </w:tcPr>
          <w:p w14:paraId="6EB367C9"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77.7%</w:t>
            </w:r>
          </w:p>
        </w:tc>
        <w:tc>
          <w:tcPr>
            <w:tcW w:w="1844" w:type="dxa"/>
            <w:tcMar>
              <w:top w:w="90" w:type="dxa"/>
              <w:left w:w="120" w:type="dxa"/>
              <w:bottom w:w="90" w:type="dxa"/>
              <w:right w:w="120" w:type="dxa"/>
            </w:tcMar>
            <w:vAlign w:val="center"/>
          </w:tcPr>
          <w:p w14:paraId="6EB367CA"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77.8%</w:t>
            </w:r>
          </w:p>
        </w:tc>
        <w:tc>
          <w:tcPr>
            <w:tcW w:w="2459" w:type="dxa"/>
            <w:tcMar>
              <w:top w:w="90" w:type="dxa"/>
              <w:left w:w="120" w:type="dxa"/>
              <w:bottom w:w="90" w:type="dxa"/>
              <w:right w:w="120" w:type="dxa"/>
            </w:tcMar>
            <w:vAlign w:val="center"/>
          </w:tcPr>
          <w:p w14:paraId="6EB367CB"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+0.1pp</w:t>
            </w:r>
          </w:p>
        </w:tc>
      </w:tr>
      <w:tr w:rsidR="00813CB8" w:rsidRPr="00312B84" w14:paraId="6EB367D1" w14:textId="77777777">
        <w:trPr>
          <w:cantSplit/>
        </w:trPr>
        <w:tc>
          <w:tcPr>
            <w:tcW w:w="4097" w:type="dxa"/>
            <w:shd w:val="clear" w:color="auto" w:fill="EEF2F6"/>
            <w:tcMar>
              <w:top w:w="90" w:type="dxa"/>
              <w:left w:w="120" w:type="dxa"/>
              <w:bottom w:w="90" w:type="dxa"/>
              <w:right w:w="120" w:type="dxa"/>
            </w:tcMar>
            <w:vAlign w:val="center"/>
          </w:tcPr>
          <w:p w14:paraId="6EB367CD" w14:textId="77777777" w:rsidR="00813CB8" w:rsidRPr="00312B84" w:rsidRDefault="002B4BED">
            <w:pPr>
              <w:spacing w:after="40"/>
              <w:rPr>
                <w:sz w:val="24"/>
                <w:szCs w:val="24"/>
              </w:rPr>
            </w:pPr>
            <w:r w:rsidRPr="00312B84">
              <w:rPr>
                <w:rFonts w:ascii="Arial" w:eastAsia="Arial" w:hAnsi="Arial" w:cs="Arial"/>
                <w:color w:val="22303C"/>
                <w:sz w:val="20"/>
                <w:szCs w:val="20"/>
              </w:rPr>
              <w:t>Second-lien senior secured debt</w:t>
            </w:r>
          </w:p>
        </w:tc>
        <w:tc>
          <w:tcPr>
            <w:tcW w:w="1844" w:type="dxa"/>
            <w:tcMar>
              <w:top w:w="90" w:type="dxa"/>
              <w:left w:w="120" w:type="dxa"/>
              <w:bottom w:w="90" w:type="dxa"/>
              <w:right w:w="120" w:type="dxa"/>
            </w:tcMar>
            <w:vAlign w:val="center"/>
          </w:tcPr>
          <w:p w14:paraId="6EB367CE"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3.5%</w:t>
            </w:r>
          </w:p>
        </w:tc>
        <w:tc>
          <w:tcPr>
            <w:tcW w:w="1844" w:type="dxa"/>
            <w:tcMar>
              <w:top w:w="90" w:type="dxa"/>
              <w:left w:w="120" w:type="dxa"/>
              <w:bottom w:w="90" w:type="dxa"/>
              <w:right w:w="120" w:type="dxa"/>
            </w:tcMar>
            <w:vAlign w:val="center"/>
          </w:tcPr>
          <w:p w14:paraId="6EB367CF"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3.3%</w:t>
            </w:r>
          </w:p>
        </w:tc>
        <w:tc>
          <w:tcPr>
            <w:tcW w:w="2459" w:type="dxa"/>
            <w:tcMar>
              <w:top w:w="90" w:type="dxa"/>
              <w:left w:w="120" w:type="dxa"/>
              <w:bottom w:w="90" w:type="dxa"/>
              <w:right w:w="120" w:type="dxa"/>
            </w:tcMar>
            <w:vAlign w:val="center"/>
          </w:tcPr>
          <w:p w14:paraId="6EB367D0"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−0.2pp</w:t>
            </w:r>
          </w:p>
        </w:tc>
      </w:tr>
      <w:tr w:rsidR="00813CB8" w:rsidRPr="00312B84" w14:paraId="6EB367D6" w14:textId="77777777">
        <w:trPr>
          <w:cantSplit/>
        </w:trPr>
        <w:tc>
          <w:tcPr>
            <w:tcW w:w="4097" w:type="dxa"/>
            <w:shd w:val="clear" w:color="auto" w:fill="EEF2F6"/>
            <w:tcMar>
              <w:top w:w="90" w:type="dxa"/>
              <w:left w:w="120" w:type="dxa"/>
              <w:bottom w:w="90" w:type="dxa"/>
              <w:right w:w="120" w:type="dxa"/>
            </w:tcMar>
            <w:vAlign w:val="center"/>
          </w:tcPr>
          <w:p w14:paraId="6EB367D2" w14:textId="77777777" w:rsidR="00813CB8" w:rsidRPr="00312B84" w:rsidRDefault="002B4BED">
            <w:pPr>
              <w:spacing w:after="40"/>
              <w:rPr>
                <w:sz w:val="24"/>
                <w:szCs w:val="24"/>
              </w:rPr>
            </w:pPr>
            <w:r w:rsidRPr="00312B84">
              <w:rPr>
                <w:rFonts w:ascii="Arial" w:eastAsia="Arial" w:hAnsi="Arial" w:cs="Arial"/>
                <w:color w:val="22303C"/>
                <w:sz w:val="20"/>
                <w:szCs w:val="20"/>
              </w:rPr>
              <w:t>Unsecured &amp; specialty finance debt</w:t>
            </w:r>
          </w:p>
        </w:tc>
        <w:tc>
          <w:tcPr>
            <w:tcW w:w="1844" w:type="dxa"/>
            <w:tcMar>
              <w:top w:w="90" w:type="dxa"/>
              <w:left w:w="120" w:type="dxa"/>
              <w:bottom w:w="90" w:type="dxa"/>
              <w:right w:w="120" w:type="dxa"/>
            </w:tcMar>
            <w:vAlign w:val="center"/>
          </w:tcPr>
          <w:p w14:paraId="6EB367D3"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3.5%</w:t>
            </w:r>
          </w:p>
        </w:tc>
        <w:tc>
          <w:tcPr>
            <w:tcW w:w="1844" w:type="dxa"/>
            <w:tcMar>
              <w:top w:w="90" w:type="dxa"/>
              <w:left w:w="120" w:type="dxa"/>
              <w:bottom w:w="90" w:type="dxa"/>
              <w:right w:w="120" w:type="dxa"/>
            </w:tcMar>
            <w:vAlign w:val="center"/>
          </w:tcPr>
          <w:p w14:paraId="6EB367D4"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3.5%</w:t>
            </w:r>
          </w:p>
        </w:tc>
        <w:tc>
          <w:tcPr>
            <w:tcW w:w="2459" w:type="dxa"/>
            <w:tcMar>
              <w:top w:w="90" w:type="dxa"/>
              <w:left w:w="120" w:type="dxa"/>
              <w:bottom w:w="90" w:type="dxa"/>
              <w:right w:w="120" w:type="dxa"/>
            </w:tcMar>
            <w:vAlign w:val="center"/>
          </w:tcPr>
          <w:p w14:paraId="6EB367D5"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flat</w:t>
            </w:r>
          </w:p>
        </w:tc>
      </w:tr>
      <w:tr w:rsidR="00813CB8" w:rsidRPr="00312B84" w14:paraId="6EB367DB" w14:textId="77777777">
        <w:trPr>
          <w:cantSplit/>
        </w:trPr>
        <w:tc>
          <w:tcPr>
            <w:tcW w:w="4097" w:type="dxa"/>
            <w:shd w:val="clear" w:color="auto" w:fill="EEF2F6"/>
            <w:tcMar>
              <w:top w:w="90" w:type="dxa"/>
              <w:left w:w="120" w:type="dxa"/>
              <w:bottom w:w="90" w:type="dxa"/>
              <w:right w:w="120" w:type="dxa"/>
            </w:tcMar>
            <w:vAlign w:val="center"/>
          </w:tcPr>
          <w:p w14:paraId="6EB367D7" w14:textId="77777777" w:rsidR="00813CB8" w:rsidRPr="00312B84" w:rsidRDefault="002B4BED">
            <w:pPr>
              <w:spacing w:after="40"/>
              <w:rPr>
                <w:sz w:val="24"/>
                <w:szCs w:val="24"/>
              </w:rPr>
            </w:pPr>
            <w:r w:rsidRPr="00312B84">
              <w:rPr>
                <w:rFonts w:ascii="Arial" w:eastAsia="Arial" w:hAnsi="Arial" w:cs="Arial"/>
                <w:color w:val="22303C"/>
                <w:sz w:val="20"/>
                <w:szCs w:val="20"/>
              </w:rPr>
              <w:t>Preferred equity</w:t>
            </w:r>
          </w:p>
        </w:tc>
        <w:tc>
          <w:tcPr>
            <w:tcW w:w="1844" w:type="dxa"/>
            <w:tcMar>
              <w:top w:w="90" w:type="dxa"/>
              <w:left w:w="120" w:type="dxa"/>
              <w:bottom w:w="90" w:type="dxa"/>
              <w:right w:w="120" w:type="dxa"/>
            </w:tcMar>
            <w:vAlign w:val="center"/>
          </w:tcPr>
          <w:p w14:paraId="6EB367D8"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7.0%</w:t>
            </w:r>
          </w:p>
        </w:tc>
        <w:tc>
          <w:tcPr>
            <w:tcW w:w="1844" w:type="dxa"/>
            <w:tcMar>
              <w:top w:w="90" w:type="dxa"/>
              <w:left w:w="120" w:type="dxa"/>
              <w:bottom w:w="90" w:type="dxa"/>
              <w:right w:w="120" w:type="dxa"/>
            </w:tcMar>
            <w:vAlign w:val="center"/>
          </w:tcPr>
          <w:p w14:paraId="6EB367D9"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6.5%</w:t>
            </w:r>
          </w:p>
        </w:tc>
        <w:tc>
          <w:tcPr>
            <w:tcW w:w="2459" w:type="dxa"/>
            <w:tcMar>
              <w:top w:w="90" w:type="dxa"/>
              <w:left w:w="120" w:type="dxa"/>
              <w:bottom w:w="90" w:type="dxa"/>
              <w:right w:w="120" w:type="dxa"/>
            </w:tcMar>
            <w:vAlign w:val="center"/>
          </w:tcPr>
          <w:p w14:paraId="6EB367DA"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−0.5pp</w:t>
            </w:r>
          </w:p>
        </w:tc>
      </w:tr>
      <w:tr w:rsidR="00813CB8" w:rsidRPr="00312B84" w14:paraId="6EB367E0" w14:textId="77777777">
        <w:trPr>
          <w:cantSplit/>
        </w:trPr>
        <w:tc>
          <w:tcPr>
            <w:tcW w:w="4097" w:type="dxa"/>
            <w:shd w:val="clear" w:color="auto" w:fill="EEF2F6"/>
            <w:tcMar>
              <w:top w:w="90" w:type="dxa"/>
              <w:left w:w="120" w:type="dxa"/>
              <w:bottom w:w="90" w:type="dxa"/>
              <w:right w:w="120" w:type="dxa"/>
            </w:tcMar>
            <w:vAlign w:val="center"/>
          </w:tcPr>
          <w:p w14:paraId="6EB367DC" w14:textId="77777777" w:rsidR="00813CB8" w:rsidRPr="00312B84" w:rsidRDefault="002B4BED">
            <w:pPr>
              <w:spacing w:after="40"/>
              <w:rPr>
                <w:sz w:val="24"/>
                <w:szCs w:val="24"/>
              </w:rPr>
            </w:pPr>
            <w:r w:rsidRPr="00312B84">
              <w:rPr>
                <w:rFonts w:ascii="Arial" w:eastAsia="Arial" w:hAnsi="Arial" w:cs="Arial"/>
                <w:color w:val="22303C"/>
                <w:sz w:val="20"/>
                <w:szCs w:val="20"/>
              </w:rPr>
              <w:t>Common equity &amp; JV</w:t>
            </w:r>
          </w:p>
        </w:tc>
        <w:tc>
          <w:tcPr>
            <w:tcW w:w="1844" w:type="dxa"/>
            <w:tcMar>
              <w:top w:w="90" w:type="dxa"/>
              <w:left w:w="120" w:type="dxa"/>
              <w:bottom w:w="90" w:type="dxa"/>
              <w:right w:w="120" w:type="dxa"/>
            </w:tcMar>
            <w:vAlign w:val="center"/>
          </w:tcPr>
          <w:p w14:paraId="6EB367DD"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8.3%</w:t>
            </w:r>
          </w:p>
        </w:tc>
        <w:tc>
          <w:tcPr>
            <w:tcW w:w="1844" w:type="dxa"/>
            <w:tcMar>
              <w:top w:w="90" w:type="dxa"/>
              <w:left w:w="120" w:type="dxa"/>
              <w:bottom w:w="90" w:type="dxa"/>
              <w:right w:w="120" w:type="dxa"/>
            </w:tcMar>
            <w:vAlign w:val="center"/>
          </w:tcPr>
          <w:p w14:paraId="6EB367DE"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8.9%</w:t>
            </w:r>
          </w:p>
        </w:tc>
        <w:tc>
          <w:tcPr>
            <w:tcW w:w="2459" w:type="dxa"/>
            <w:tcMar>
              <w:top w:w="90" w:type="dxa"/>
              <w:left w:w="120" w:type="dxa"/>
              <w:bottom w:w="90" w:type="dxa"/>
              <w:right w:w="120" w:type="dxa"/>
            </w:tcMar>
            <w:vAlign w:val="center"/>
          </w:tcPr>
          <w:p w14:paraId="6EB367DF"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+0.6pp</w:t>
            </w:r>
          </w:p>
        </w:tc>
      </w:tr>
      <w:tr w:rsidR="00813CB8" w:rsidRPr="00312B84" w14:paraId="6EB367E5" w14:textId="77777777">
        <w:trPr>
          <w:cantSplit/>
        </w:trPr>
        <w:tc>
          <w:tcPr>
            <w:tcW w:w="4097" w:type="dxa"/>
            <w:shd w:val="clear" w:color="auto" w:fill="EEF2F6"/>
            <w:tcMar>
              <w:top w:w="90" w:type="dxa"/>
              <w:left w:w="120" w:type="dxa"/>
              <w:bottom w:w="90" w:type="dxa"/>
              <w:right w:w="120" w:type="dxa"/>
            </w:tcMar>
            <w:vAlign w:val="center"/>
          </w:tcPr>
          <w:p w14:paraId="6EB367E1" w14:textId="77777777" w:rsidR="00813CB8" w:rsidRPr="00312B84" w:rsidRDefault="002B4BED">
            <w:pPr>
              <w:spacing w:after="40"/>
              <w:rPr>
                <w:sz w:val="24"/>
                <w:szCs w:val="24"/>
              </w:rPr>
            </w:pPr>
            <w:r w:rsidRPr="00312B84">
              <w:rPr>
                <w:rFonts w:ascii="Arial" w:eastAsia="Arial" w:hAnsi="Arial" w:cs="Arial"/>
                <w:b/>
                <w:bCs/>
                <w:color w:val="22303C"/>
                <w:sz w:val="20"/>
                <w:szCs w:val="20"/>
              </w:rPr>
              <w:t>Total</w:t>
            </w:r>
          </w:p>
        </w:tc>
        <w:tc>
          <w:tcPr>
            <w:tcW w:w="1844" w:type="dxa"/>
            <w:tcMar>
              <w:top w:w="90" w:type="dxa"/>
              <w:left w:w="120" w:type="dxa"/>
              <w:bottom w:w="90" w:type="dxa"/>
              <w:right w:w="120" w:type="dxa"/>
            </w:tcMar>
            <w:vAlign w:val="center"/>
          </w:tcPr>
          <w:p w14:paraId="6EB367E2" w14:textId="77777777" w:rsidR="00813CB8" w:rsidRPr="00312B84" w:rsidRDefault="002B4BED">
            <w:pPr>
              <w:spacing w:after="40"/>
              <w:rPr>
                <w:sz w:val="24"/>
                <w:szCs w:val="24"/>
              </w:rPr>
            </w:pPr>
            <w:r w:rsidRPr="00312B84">
              <w:rPr>
                <w:rFonts w:ascii="Arial" w:eastAsia="Arial" w:hAnsi="Arial" w:cs="Arial"/>
                <w:b/>
                <w:bCs/>
                <w:color w:val="22303C"/>
                <w:sz w:val="20"/>
                <w:szCs w:val="20"/>
              </w:rPr>
              <w:t>100.0%</w:t>
            </w:r>
          </w:p>
        </w:tc>
        <w:tc>
          <w:tcPr>
            <w:tcW w:w="1844" w:type="dxa"/>
            <w:tcMar>
              <w:top w:w="90" w:type="dxa"/>
              <w:left w:w="120" w:type="dxa"/>
              <w:bottom w:w="90" w:type="dxa"/>
              <w:right w:w="120" w:type="dxa"/>
            </w:tcMar>
            <w:vAlign w:val="center"/>
          </w:tcPr>
          <w:p w14:paraId="6EB367E3" w14:textId="77777777" w:rsidR="00813CB8" w:rsidRPr="00312B84" w:rsidRDefault="002B4BED">
            <w:pPr>
              <w:spacing w:after="40"/>
              <w:rPr>
                <w:sz w:val="24"/>
                <w:szCs w:val="24"/>
              </w:rPr>
            </w:pPr>
            <w:r w:rsidRPr="00312B84">
              <w:rPr>
                <w:rFonts w:ascii="Arial" w:eastAsia="Arial" w:hAnsi="Arial" w:cs="Arial"/>
                <w:b/>
                <w:bCs/>
                <w:color w:val="22303C"/>
                <w:sz w:val="20"/>
                <w:szCs w:val="20"/>
              </w:rPr>
              <w:t>100.0%</w:t>
            </w:r>
          </w:p>
        </w:tc>
        <w:tc>
          <w:tcPr>
            <w:tcW w:w="2459" w:type="dxa"/>
            <w:tcMar>
              <w:top w:w="90" w:type="dxa"/>
              <w:left w:w="120" w:type="dxa"/>
              <w:bottom w:w="90" w:type="dxa"/>
              <w:right w:w="120" w:type="dxa"/>
            </w:tcMar>
            <w:vAlign w:val="center"/>
          </w:tcPr>
          <w:p w14:paraId="6EB367E4"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w:t>
            </w:r>
          </w:p>
        </w:tc>
      </w:tr>
      <w:tr w:rsidR="00813CB8" w:rsidRPr="00312B84" w14:paraId="6EB367EA" w14:textId="77777777">
        <w:trPr>
          <w:cantSplit/>
        </w:trPr>
        <w:tc>
          <w:tcPr>
            <w:tcW w:w="4097" w:type="dxa"/>
            <w:shd w:val="clear" w:color="auto" w:fill="EEF2F6"/>
            <w:tcMar>
              <w:top w:w="90" w:type="dxa"/>
              <w:left w:w="120" w:type="dxa"/>
              <w:bottom w:w="90" w:type="dxa"/>
              <w:right w:w="120" w:type="dxa"/>
            </w:tcMar>
            <w:vAlign w:val="center"/>
          </w:tcPr>
          <w:p w14:paraId="6EB367E6" w14:textId="77777777" w:rsidR="00813CB8" w:rsidRPr="00312B84" w:rsidRDefault="002B4BED">
            <w:pPr>
              <w:spacing w:after="40"/>
              <w:rPr>
                <w:sz w:val="24"/>
                <w:szCs w:val="24"/>
              </w:rPr>
            </w:pPr>
            <w:r w:rsidRPr="00312B84">
              <w:rPr>
                <w:rFonts w:ascii="Arial" w:eastAsia="Arial" w:hAnsi="Arial" w:cs="Arial"/>
                <w:color w:val="22303C"/>
                <w:sz w:val="20"/>
                <w:szCs w:val="20"/>
              </w:rPr>
              <w:t>Memo: senior secured debt</w:t>
            </w:r>
          </w:p>
        </w:tc>
        <w:tc>
          <w:tcPr>
            <w:tcW w:w="1844" w:type="dxa"/>
            <w:tcMar>
              <w:top w:w="90" w:type="dxa"/>
              <w:left w:w="120" w:type="dxa"/>
              <w:bottom w:w="90" w:type="dxa"/>
              <w:right w:w="120" w:type="dxa"/>
            </w:tcMar>
            <w:vAlign w:val="center"/>
          </w:tcPr>
          <w:p w14:paraId="6EB367E7"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81.5%</w:t>
            </w:r>
          </w:p>
        </w:tc>
        <w:tc>
          <w:tcPr>
            <w:tcW w:w="1844" w:type="dxa"/>
            <w:tcMar>
              <w:top w:w="90" w:type="dxa"/>
              <w:left w:w="120" w:type="dxa"/>
              <w:bottom w:w="90" w:type="dxa"/>
              <w:right w:w="120" w:type="dxa"/>
            </w:tcMar>
            <w:vAlign w:val="center"/>
          </w:tcPr>
          <w:p w14:paraId="6EB367E8"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81.4%</w:t>
            </w:r>
          </w:p>
        </w:tc>
        <w:tc>
          <w:tcPr>
            <w:tcW w:w="2459" w:type="dxa"/>
            <w:tcMar>
              <w:top w:w="90" w:type="dxa"/>
              <w:left w:w="120" w:type="dxa"/>
              <w:bottom w:w="90" w:type="dxa"/>
              <w:right w:w="120" w:type="dxa"/>
            </w:tcMar>
            <w:vAlign w:val="center"/>
          </w:tcPr>
          <w:p w14:paraId="6EB367E9"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−0.1pp</w:t>
            </w:r>
          </w:p>
        </w:tc>
      </w:tr>
      <w:tr w:rsidR="00813CB8" w:rsidRPr="00312B84" w14:paraId="6EB367EF" w14:textId="77777777">
        <w:trPr>
          <w:cantSplit/>
        </w:trPr>
        <w:tc>
          <w:tcPr>
            <w:tcW w:w="4097" w:type="dxa"/>
            <w:shd w:val="clear" w:color="auto" w:fill="EEF2F6"/>
            <w:tcMar>
              <w:top w:w="90" w:type="dxa"/>
              <w:left w:w="120" w:type="dxa"/>
              <w:bottom w:w="90" w:type="dxa"/>
              <w:right w:w="120" w:type="dxa"/>
            </w:tcMar>
            <w:vAlign w:val="center"/>
          </w:tcPr>
          <w:p w14:paraId="6EB367EB" w14:textId="77777777" w:rsidR="00813CB8" w:rsidRPr="00312B84" w:rsidRDefault="002B4BED">
            <w:pPr>
              <w:spacing w:after="40"/>
              <w:rPr>
                <w:sz w:val="24"/>
                <w:szCs w:val="24"/>
              </w:rPr>
            </w:pPr>
            <w:r w:rsidRPr="00312B84">
              <w:rPr>
                <w:rFonts w:ascii="Arial" w:eastAsia="Arial" w:hAnsi="Arial" w:cs="Arial"/>
                <w:color w:val="22303C"/>
                <w:sz w:val="20"/>
                <w:szCs w:val="20"/>
              </w:rPr>
              <w:t>Memo: total debt investments</w:t>
            </w:r>
          </w:p>
        </w:tc>
        <w:tc>
          <w:tcPr>
            <w:tcW w:w="1844" w:type="dxa"/>
            <w:tcMar>
              <w:top w:w="90" w:type="dxa"/>
              <w:left w:w="120" w:type="dxa"/>
              <w:bottom w:w="90" w:type="dxa"/>
              <w:right w:w="120" w:type="dxa"/>
            </w:tcMar>
            <w:vAlign w:val="center"/>
          </w:tcPr>
          <w:p w14:paraId="6EB367EC"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84.7%</w:t>
            </w:r>
          </w:p>
        </w:tc>
        <w:tc>
          <w:tcPr>
            <w:tcW w:w="1844" w:type="dxa"/>
            <w:tcMar>
              <w:top w:w="90" w:type="dxa"/>
              <w:left w:w="120" w:type="dxa"/>
              <w:bottom w:w="90" w:type="dxa"/>
              <w:right w:w="120" w:type="dxa"/>
            </w:tcMar>
            <w:vAlign w:val="center"/>
          </w:tcPr>
          <w:p w14:paraId="6EB367ED"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84.6%</w:t>
            </w:r>
          </w:p>
        </w:tc>
        <w:tc>
          <w:tcPr>
            <w:tcW w:w="2459" w:type="dxa"/>
            <w:tcMar>
              <w:top w:w="90" w:type="dxa"/>
              <w:left w:w="120" w:type="dxa"/>
              <w:bottom w:w="90" w:type="dxa"/>
              <w:right w:w="120" w:type="dxa"/>
            </w:tcMar>
            <w:vAlign w:val="center"/>
          </w:tcPr>
          <w:p w14:paraId="6EB367EE"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−0.1pp</w:t>
            </w:r>
          </w:p>
        </w:tc>
      </w:tr>
      <w:tr w:rsidR="00813CB8" w:rsidRPr="00312B84" w14:paraId="6EB367F4" w14:textId="77777777">
        <w:trPr>
          <w:cantSplit/>
        </w:trPr>
        <w:tc>
          <w:tcPr>
            <w:tcW w:w="4097" w:type="dxa"/>
            <w:shd w:val="clear" w:color="auto" w:fill="EEF2F6"/>
            <w:tcMar>
              <w:top w:w="90" w:type="dxa"/>
              <w:left w:w="120" w:type="dxa"/>
              <w:bottom w:w="90" w:type="dxa"/>
              <w:right w:w="120" w:type="dxa"/>
            </w:tcMar>
            <w:vAlign w:val="center"/>
          </w:tcPr>
          <w:p w14:paraId="6EB367F0" w14:textId="77777777" w:rsidR="00813CB8" w:rsidRPr="00312B84" w:rsidRDefault="002B4BED">
            <w:pPr>
              <w:spacing w:after="40"/>
              <w:rPr>
                <w:sz w:val="24"/>
                <w:szCs w:val="24"/>
              </w:rPr>
            </w:pPr>
            <w:r w:rsidRPr="00312B84">
              <w:rPr>
                <w:rFonts w:ascii="Arial" w:eastAsia="Arial" w:hAnsi="Arial" w:cs="Arial"/>
                <w:color w:val="22303C"/>
                <w:sz w:val="20"/>
                <w:szCs w:val="20"/>
              </w:rPr>
              <w:t>Memo: total equity &amp; joint ventures</w:t>
            </w:r>
          </w:p>
        </w:tc>
        <w:tc>
          <w:tcPr>
            <w:tcW w:w="1844" w:type="dxa"/>
            <w:tcMar>
              <w:top w:w="90" w:type="dxa"/>
              <w:left w:w="120" w:type="dxa"/>
              <w:bottom w:w="90" w:type="dxa"/>
              <w:right w:w="120" w:type="dxa"/>
            </w:tcMar>
            <w:vAlign w:val="center"/>
          </w:tcPr>
          <w:p w14:paraId="6EB367F1"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15.3%</w:t>
            </w:r>
          </w:p>
        </w:tc>
        <w:tc>
          <w:tcPr>
            <w:tcW w:w="1844" w:type="dxa"/>
            <w:tcMar>
              <w:top w:w="90" w:type="dxa"/>
              <w:left w:w="120" w:type="dxa"/>
              <w:bottom w:w="90" w:type="dxa"/>
              <w:right w:w="120" w:type="dxa"/>
            </w:tcMar>
            <w:vAlign w:val="center"/>
          </w:tcPr>
          <w:p w14:paraId="6EB367F2"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15.4%</w:t>
            </w:r>
          </w:p>
        </w:tc>
        <w:tc>
          <w:tcPr>
            <w:tcW w:w="2459" w:type="dxa"/>
            <w:tcMar>
              <w:top w:w="90" w:type="dxa"/>
              <w:left w:w="120" w:type="dxa"/>
              <w:bottom w:w="90" w:type="dxa"/>
              <w:right w:w="120" w:type="dxa"/>
            </w:tcMar>
            <w:vAlign w:val="center"/>
          </w:tcPr>
          <w:p w14:paraId="6EB367F3"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+0.1pp</w:t>
            </w:r>
          </w:p>
        </w:tc>
      </w:tr>
      <w:tr w:rsidR="00813CB8" w:rsidRPr="00312B84" w14:paraId="6EB367F9" w14:textId="77777777">
        <w:trPr>
          <w:cantSplit/>
        </w:trPr>
        <w:tc>
          <w:tcPr>
            <w:tcW w:w="4097" w:type="dxa"/>
            <w:shd w:val="clear" w:color="auto" w:fill="EEF2F6"/>
            <w:tcMar>
              <w:top w:w="90" w:type="dxa"/>
              <w:left w:w="120" w:type="dxa"/>
              <w:bottom w:w="90" w:type="dxa"/>
              <w:right w:w="120" w:type="dxa"/>
            </w:tcMar>
            <w:vAlign w:val="center"/>
          </w:tcPr>
          <w:p w14:paraId="6EB367F5" w14:textId="77777777" w:rsidR="00813CB8" w:rsidRPr="00312B84" w:rsidRDefault="002B4BED">
            <w:pPr>
              <w:spacing w:after="40"/>
              <w:rPr>
                <w:sz w:val="24"/>
                <w:szCs w:val="24"/>
              </w:rPr>
            </w:pPr>
            <w:r w:rsidRPr="00312B84">
              <w:rPr>
                <w:rFonts w:ascii="Arial" w:eastAsia="Arial" w:hAnsi="Arial" w:cs="Arial"/>
                <w:color w:val="22303C"/>
                <w:sz w:val="20"/>
                <w:szCs w:val="20"/>
              </w:rPr>
              <w:t>Memo: unitranche share of first-lien debt</w:t>
            </w:r>
          </w:p>
        </w:tc>
        <w:tc>
          <w:tcPr>
            <w:tcW w:w="1844" w:type="dxa"/>
            <w:tcMar>
              <w:top w:w="90" w:type="dxa"/>
              <w:left w:w="120" w:type="dxa"/>
              <w:bottom w:w="90" w:type="dxa"/>
              <w:right w:w="120" w:type="dxa"/>
            </w:tcMar>
            <w:vAlign w:val="center"/>
          </w:tcPr>
          <w:p w14:paraId="6EB367F6"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57%</w:t>
            </w:r>
          </w:p>
        </w:tc>
        <w:tc>
          <w:tcPr>
            <w:tcW w:w="1844" w:type="dxa"/>
            <w:tcMar>
              <w:top w:w="90" w:type="dxa"/>
              <w:left w:w="120" w:type="dxa"/>
              <w:bottom w:w="90" w:type="dxa"/>
              <w:right w:w="120" w:type="dxa"/>
            </w:tcMar>
            <w:vAlign w:val="center"/>
          </w:tcPr>
          <w:p w14:paraId="6EB367F7"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56%</w:t>
            </w:r>
          </w:p>
        </w:tc>
        <w:tc>
          <w:tcPr>
            <w:tcW w:w="2459" w:type="dxa"/>
            <w:tcMar>
              <w:top w:w="90" w:type="dxa"/>
              <w:left w:w="120" w:type="dxa"/>
              <w:bottom w:w="90" w:type="dxa"/>
              <w:right w:w="120" w:type="dxa"/>
            </w:tcMar>
            <w:vAlign w:val="center"/>
          </w:tcPr>
          <w:p w14:paraId="6EB367F8"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−1pp</w:t>
            </w:r>
          </w:p>
        </w:tc>
      </w:tr>
    </w:tbl>
    <w:p w14:paraId="6EB367FA" w14:textId="77777777" w:rsidR="00813CB8" w:rsidRPr="00312B84" w:rsidRDefault="002B4BED">
      <w:pPr>
        <w:spacing w:after="200"/>
        <w:ind w:left="200"/>
        <w:rPr>
          <w:sz w:val="24"/>
          <w:szCs w:val="24"/>
        </w:rPr>
      </w:pPr>
      <w:r w:rsidRPr="00312B84">
        <w:rPr>
          <w:rFonts w:ascii="Arial" w:eastAsia="Arial" w:hAnsi="Arial" w:cs="Arial"/>
          <w:i/>
          <w:iCs/>
          <w:color w:val="5A6B7B"/>
          <w:sz w:val="13"/>
          <w:szCs w:val="13"/>
        </w:rPr>
        <w:t>Percent of total investments at fair value, by 10-Q asset class. Unsecured &amp; specialty finance debt combines the two debt buckets; common equity &amp; JV includes specialty finance equity. Portfolio fair value was $14.1bn across 203 companies at Q1'26 and $14.7bn across 205 at Q2'26. Source: OTF Q2'26 and Q1'26 10-Q; Q2'26 Earnings Presentation slide 5</w:t>
      </w:r>
    </w:p>
    <w:p w14:paraId="6EB367FB" w14:textId="77777777" w:rsidR="00813CB8" w:rsidRPr="00312B84" w:rsidRDefault="002B4BED">
      <w:pPr>
        <w:spacing w:after="120"/>
        <w:ind w:left="200"/>
        <w:jc w:val="both"/>
        <w:rPr>
          <w:sz w:val="24"/>
          <w:szCs w:val="24"/>
        </w:rPr>
      </w:pPr>
      <w:r w:rsidRPr="00312B84">
        <w:rPr>
          <w:rFonts w:eastAsia="Calibri Light"/>
          <w:color w:val="000000"/>
          <w:sz w:val="24"/>
          <w:szCs w:val="24"/>
        </w:rPr>
        <w:t>The mix was essentially static this quarter: the largest move was common equity &amp; JV at 8.9%, up 0.6pp, driven by specialty finance equity additions, against preferred equity at 6.5%, down 0.5pp. First-lien exposure held at 77.8% and total debt investments at 84.6% of fair value.</w:t>
      </w:r>
    </w:p>
    <w:p w14:paraId="6EB367FC" w14:textId="77777777" w:rsidR="00813CB8" w:rsidRPr="00312B84" w:rsidRDefault="002B4BED">
      <w:pPr>
        <w:pStyle w:val="3"/>
        <w:spacing w:before="200" w:after="100"/>
        <w:ind w:left="110"/>
        <w:rPr>
          <w:sz w:val="21"/>
          <w:szCs w:val="21"/>
        </w:rPr>
      </w:pPr>
      <w:r w:rsidRPr="00312B84">
        <w:rPr>
          <w:rFonts w:eastAsia="Calibri Light"/>
          <w:color w:val="001F5F"/>
          <w:sz w:val="28"/>
          <w:szCs w:val="28"/>
        </w:rPr>
        <w:t>Industry</w:t>
      </w:r>
    </w:p>
    <w:p w14:paraId="6EB367FD" w14:textId="77777777" w:rsidR="00813CB8" w:rsidRPr="00312B84" w:rsidRDefault="002B4BED">
      <w:pPr>
        <w:spacing w:before="120" w:after="160"/>
        <w:jc w:val="center"/>
        <w:rPr>
          <w:sz w:val="24"/>
          <w:szCs w:val="24"/>
        </w:rPr>
      </w:pPr>
      <w:r w:rsidRPr="00312B84">
        <w:rPr>
          <w:noProof/>
          <w:sz w:val="24"/>
          <w:szCs w:val="24"/>
        </w:rPr>
        <w:drawing>
          <wp:inline distT="0" distB="0" distL="0" distR="0" wp14:anchorId="6EB36A97" wp14:editId="6EB36A98">
            <wp:extent cx="6503669" cy="292442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503669" cy="2924426"/>
                    </a:xfrm>
                    <a:prstGeom prst="rect">
                      <a:avLst/>
                    </a:prstGeom>
                  </pic:spPr>
                </pic:pic>
              </a:graphicData>
            </a:graphic>
          </wp:inline>
        </w:drawing>
      </w:r>
    </w:p>
    <w:tbl>
      <w:tblPr>
        <w:tblW w:w="10244"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CellMar>
          <w:left w:w="10" w:type="dxa"/>
          <w:right w:w="10" w:type="dxa"/>
        </w:tblCellMar>
        <w:tblLook w:val="04A0" w:firstRow="1" w:lastRow="0" w:firstColumn="1" w:lastColumn="0" w:noHBand="0" w:noVBand="1"/>
      </w:tblPr>
      <w:tblGrid>
        <w:gridCol w:w="4097"/>
        <w:gridCol w:w="1844"/>
        <w:gridCol w:w="1844"/>
        <w:gridCol w:w="2459"/>
      </w:tblGrid>
      <w:tr w:rsidR="00813CB8" w:rsidRPr="00312B84" w14:paraId="6EB36802" w14:textId="77777777">
        <w:trPr>
          <w:cantSplit/>
          <w:tblHeader/>
        </w:trPr>
        <w:tc>
          <w:tcPr>
            <w:tcW w:w="4097" w:type="dxa"/>
            <w:shd w:val="clear" w:color="auto" w:fill="1F3B5B"/>
            <w:tcMar>
              <w:top w:w="90" w:type="dxa"/>
              <w:left w:w="120" w:type="dxa"/>
              <w:bottom w:w="90" w:type="dxa"/>
              <w:right w:w="120" w:type="dxa"/>
            </w:tcMar>
            <w:vAlign w:val="center"/>
          </w:tcPr>
          <w:p w14:paraId="6EB367FE" w14:textId="77777777" w:rsidR="00813CB8" w:rsidRPr="00312B84" w:rsidRDefault="002B4BED">
            <w:pPr>
              <w:spacing w:after="40"/>
              <w:rPr>
                <w:sz w:val="24"/>
                <w:szCs w:val="24"/>
              </w:rPr>
            </w:pPr>
            <w:r w:rsidRPr="00312B84">
              <w:rPr>
                <w:rFonts w:ascii="Arial" w:eastAsia="Arial" w:hAnsi="Arial" w:cs="Arial"/>
                <w:b/>
                <w:bCs/>
                <w:color w:val="FFFFFF"/>
                <w:sz w:val="20"/>
                <w:szCs w:val="20"/>
              </w:rPr>
              <w:lastRenderedPageBreak/>
              <w:t>Industry</w:t>
            </w:r>
          </w:p>
        </w:tc>
        <w:tc>
          <w:tcPr>
            <w:tcW w:w="1844" w:type="dxa"/>
            <w:shd w:val="clear" w:color="auto" w:fill="1F3B5B"/>
            <w:tcMar>
              <w:top w:w="90" w:type="dxa"/>
              <w:left w:w="120" w:type="dxa"/>
              <w:bottom w:w="90" w:type="dxa"/>
              <w:right w:w="120" w:type="dxa"/>
            </w:tcMar>
            <w:vAlign w:val="center"/>
          </w:tcPr>
          <w:p w14:paraId="6EB367FF" w14:textId="77777777" w:rsidR="00813CB8" w:rsidRPr="00312B84" w:rsidRDefault="002B4BED">
            <w:pPr>
              <w:spacing w:after="40"/>
              <w:jc w:val="center"/>
              <w:rPr>
                <w:sz w:val="24"/>
                <w:szCs w:val="24"/>
              </w:rPr>
            </w:pPr>
            <w:r w:rsidRPr="00312B84">
              <w:rPr>
                <w:rFonts w:ascii="Arial" w:eastAsia="Arial" w:hAnsi="Arial" w:cs="Arial"/>
                <w:b/>
                <w:bCs/>
                <w:color w:val="FFFFFF"/>
                <w:sz w:val="20"/>
                <w:szCs w:val="20"/>
              </w:rPr>
              <w:t>Q1'26</w:t>
            </w:r>
          </w:p>
        </w:tc>
        <w:tc>
          <w:tcPr>
            <w:tcW w:w="1844" w:type="dxa"/>
            <w:shd w:val="clear" w:color="auto" w:fill="1F3B5B"/>
            <w:tcMar>
              <w:top w:w="90" w:type="dxa"/>
              <w:left w:w="120" w:type="dxa"/>
              <w:bottom w:w="90" w:type="dxa"/>
              <w:right w:w="120" w:type="dxa"/>
            </w:tcMar>
            <w:vAlign w:val="center"/>
          </w:tcPr>
          <w:p w14:paraId="6EB36800" w14:textId="77777777" w:rsidR="00813CB8" w:rsidRPr="00312B84" w:rsidRDefault="002B4BED">
            <w:pPr>
              <w:spacing w:after="40"/>
              <w:jc w:val="center"/>
              <w:rPr>
                <w:sz w:val="24"/>
                <w:szCs w:val="24"/>
              </w:rPr>
            </w:pPr>
            <w:r w:rsidRPr="00312B84">
              <w:rPr>
                <w:rFonts w:ascii="Arial" w:eastAsia="Arial" w:hAnsi="Arial" w:cs="Arial"/>
                <w:b/>
                <w:bCs/>
                <w:color w:val="FFFFFF"/>
                <w:sz w:val="20"/>
                <w:szCs w:val="20"/>
              </w:rPr>
              <w:t>Q2'26</w:t>
            </w:r>
          </w:p>
        </w:tc>
        <w:tc>
          <w:tcPr>
            <w:tcW w:w="2459" w:type="dxa"/>
            <w:shd w:val="clear" w:color="auto" w:fill="1F3B5B"/>
            <w:tcMar>
              <w:top w:w="90" w:type="dxa"/>
              <w:left w:w="120" w:type="dxa"/>
              <w:bottom w:w="90" w:type="dxa"/>
              <w:right w:w="120" w:type="dxa"/>
            </w:tcMar>
            <w:vAlign w:val="center"/>
          </w:tcPr>
          <w:p w14:paraId="6EB36801" w14:textId="77777777" w:rsidR="00813CB8" w:rsidRPr="00312B84" w:rsidRDefault="002B4BED">
            <w:pPr>
              <w:spacing w:after="40"/>
              <w:jc w:val="center"/>
              <w:rPr>
                <w:sz w:val="24"/>
                <w:szCs w:val="24"/>
              </w:rPr>
            </w:pPr>
            <w:r w:rsidRPr="00312B84">
              <w:rPr>
                <w:rFonts w:ascii="Arial" w:eastAsia="Arial" w:hAnsi="Arial" w:cs="Arial"/>
                <w:b/>
                <w:bCs/>
                <w:color w:val="FFFFFF"/>
                <w:sz w:val="20"/>
                <w:szCs w:val="20"/>
              </w:rPr>
              <w:t>QoQ Chg</w:t>
            </w:r>
          </w:p>
        </w:tc>
      </w:tr>
      <w:tr w:rsidR="00813CB8" w:rsidRPr="00312B84" w14:paraId="6EB36807" w14:textId="77777777">
        <w:trPr>
          <w:cantSplit/>
        </w:trPr>
        <w:tc>
          <w:tcPr>
            <w:tcW w:w="4097" w:type="dxa"/>
            <w:shd w:val="clear" w:color="auto" w:fill="EEF2F6"/>
            <w:tcMar>
              <w:top w:w="90" w:type="dxa"/>
              <w:left w:w="120" w:type="dxa"/>
              <w:bottom w:w="90" w:type="dxa"/>
              <w:right w:w="120" w:type="dxa"/>
            </w:tcMar>
            <w:vAlign w:val="center"/>
          </w:tcPr>
          <w:p w14:paraId="6EB36803" w14:textId="77777777" w:rsidR="00813CB8" w:rsidRPr="00312B84" w:rsidRDefault="002B4BED">
            <w:pPr>
              <w:spacing w:after="40"/>
              <w:rPr>
                <w:sz w:val="24"/>
                <w:szCs w:val="24"/>
              </w:rPr>
            </w:pPr>
            <w:r w:rsidRPr="00312B84">
              <w:rPr>
                <w:rFonts w:ascii="Arial" w:eastAsia="Arial" w:hAnsi="Arial" w:cs="Arial"/>
                <w:color w:val="22303C"/>
                <w:sz w:val="20"/>
                <w:szCs w:val="20"/>
              </w:rPr>
              <w:t>Systems Software</w:t>
            </w:r>
          </w:p>
        </w:tc>
        <w:tc>
          <w:tcPr>
            <w:tcW w:w="1844" w:type="dxa"/>
            <w:tcMar>
              <w:top w:w="90" w:type="dxa"/>
              <w:left w:w="120" w:type="dxa"/>
              <w:bottom w:w="90" w:type="dxa"/>
              <w:right w:w="120" w:type="dxa"/>
            </w:tcMar>
            <w:vAlign w:val="center"/>
          </w:tcPr>
          <w:p w14:paraId="6EB36804"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18.5%</w:t>
            </w:r>
          </w:p>
        </w:tc>
        <w:tc>
          <w:tcPr>
            <w:tcW w:w="1844" w:type="dxa"/>
            <w:tcMar>
              <w:top w:w="90" w:type="dxa"/>
              <w:left w:w="120" w:type="dxa"/>
              <w:bottom w:w="90" w:type="dxa"/>
              <w:right w:w="120" w:type="dxa"/>
            </w:tcMar>
            <w:vAlign w:val="center"/>
          </w:tcPr>
          <w:p w14:paraId="6EB36805"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17.5%</w:t>
            </w:r>
          </w:p>
        </w:tc>
        <w:tc>
          <w:tcPr>
            <w:tcW w:w="2459" w:type="dxa"/>
            <w:tcMar>
              <w:top w:w="90" w:type="dxa"/>
              <w:left w:w="120" w:type="dxa"/>
              <w:bottom w:w="90" w:type="dxa"/>
              <w:right w:w="120" w:type="dxa"/>
            </w:tcMar>
            <w:vAlign w:val="center"/>
          </w:tcPr>
          <w:p w14:paraId="6EB36806"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−1.0pp</w:t>
            </w:r>
          </w:p>
        </w:tc>
      </w:tr>
      <w:tr w:rsidR="00813CB8" w:rsidRPr="00312B84" w14:paraId="6EB3680C" w14:textId="77777777">
        <w:trPr>
          <w:cantSplit/>
        </w:trPr>
        <w:tc>
          <w:tcPr>
            <w:tcW w:w="4097" w:type="dxa"/>
            <w:shd w:val="clear" w:color="auto" w:fill="EEF2F6"/>
            <w:tcMar>
              <w:top w:w="90" w:type="dxa"/>
              <w:left w:w="120" w:type="dxa"/>
              <w:bottom w:w="90" w:type="dxa"/>
              <w:right w:w="120" w:type="dxa"/>
            </w:tcMar>
            <w:vAlign w:val="center"/>
          </w:tcPr>
          <w:p w14:paraId="6EB36808" w14:textId="77777777" w:rsidR="00813CB8" w:rsidRPr="00312B84" w:rsidRDefault="002B4BED">
            <w:pPr>
              <w:spacing w:after="40"/>
              <w:rPr>
                <w:sz w:val="24"/>
                <w:szCs w:val="24"/>
              </w:rPr>
            </w:pPr>
            <w:r w:rsidRPr="00312B84">
              <w:rPr>
                <w:rFonts w:ascii="Arial" w:eastAsia="Arial" w:hAnsi="Arial" w:cs="Arial"/>
                <w:color w:val="22303C"/>
                <w:sz w:val="20"/>
                <w:szCs w:val="20"/>
              </w:rPr>
              <w:t>Application Software</w:t>
            </w:r>
          </w:p>
        </w:tc>
        <w:tc>
          <w:tcPr>
            <w:tcW w:w="1844" w:type="dxa"/>
            <w:tcMar>
              <w:top w:w="90" w:type="dxa"/>
              <w:left w:w="120" w:type="dxa"/>
              <w:bottom w:w="90" w:type="dxa"/>
              <w:right w:w="120" w:type="dxa"/>
            </w:tcMar>
            <w:vAlign w:val="center"/>
          </w:tcPr>
          <w:p w14:paraId="6EB36809"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14.1%</w:t>
            </w:r>
          </w:p>
        </w:tc>
        <w:tc>
          <w:tcPr>
            <w:tcW w:w="1844" w:type="dxa"/>
            <w:tcMar>
              <w:top w:w="90" w:type="dxa"/>
              <w:left w:w="120" w:type="dxa"/>
              <w:bottom w:w="90" w:type="dxa"/>
              <w:right w:w="120" w:type="dxa"/>
            </w:tcMar>
            <w:vAlign w:val="center"/>
          </w:tcPr>
          <w:p w14:paraId="6EB3680A"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15.3%</w:t>
            </w:r>
          </w:p>
        </w:tc>
        <w:tc>
          <w:tcPr>
            <w:tcW w:w="2459" w:type="dxa"/>
            <w:tcMar>
              <w:top w:w="90" w:type="dxa"/>
              <w:left w:w="120" w:type="dxa"/>
              <w:bottom w:w="90" w:type="dxa"/>
              <w:right w:w="120" w:type="dxa"/>
            </w:tcMar>
            <w:vAlign w:val="center"/>
          </w:tcPr>
          <w:p w14:paraId="6EB3680B"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+1.2pp</w:t>
            </w:r>
          </w:p>
        </w:tc>
      </w:tr>
      <w:tr w:rsidR="00813CB8" w:rsidRPr="00312B84" w14:paraId="6EB36811" w14:textId="77777777">
        <w:trPr>
          <w:cantSplit/>
        </w:trPr>
        <w:tc>
          <w:tcPr>
            <w:tcW w:w="4097" w:type="dxa"/>
            <w:shd w:val="clear" w:color="auto" w:fill="EEF2F6"/>
            <w:tcMar>
              <w:top w:w="90" w:type="dxa"/>
              <w:left w:w="120" w:type="dxa"/>
              <w:bottom w:w="90" w:type="dxa"/>
              <w:right w:w="120" w:type="dxa"/>
            </w:tcMar>
            <w:vAlign w:val="center"/>
          </w:tcPr>
          <w:p w14:paraId="6EB3680D" w14:textId="77777777" w:rsidR="00813CB8" w:rsidRPr="00312B84" w:rsidRDefault="002B4BED">
            <w:pPr>
              <w:spacing w:after="40"/>
              <w:rPr>
                <w:sz w:val="24"/>
                <w:szCs w:val="24"/>
              </w:rPr>
            </w:pPr>
            <w:r w:rsidRPr="00312B84">
              <w:rPr>
                <w:rFonts w:ascii="Arial" w:eastAsia="Arial" w:hAnsi="Arial" w:cs="Arial"/>
                <w:color w:val="22303C"/>
                <w:sz w:val="20"/>
                <w:szCs w:val="20"/>
              </w:rPr>
              <w:t>Health Care Technology</w:t>
            </w:r>
          </w:p>
        </w:tc>
        <w:tc>
          <w:tcPr>
            <w:tcW w:w="1844" w:type="dxa"/>
            <w:tcMar>
              <w:top w:w="90" w:type="dxa"/>
              <w:left w:w="120" w:type="dxa"/>
              <w:bottom w:w="90" w:type="dxa"/>
              <w:right w:w="120" w:type="dxa"/>
            </w:tcMar>
            <w:vAlign w:val="center"/>
          </w:tcPr>
          <w:p w14:paraId="6EB3680E"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12.9%</w:t>
            </w:r>
          </w:p>
        </w:tc>
        <w:tc>
          <w:tcPr>
            <w:tcW w:w="1844" w:type="dxa"/>
            <w:tcMar>
              <w:top w:w="90" w:type="dxa"/>
              <w:left w:w="120" w:type="dxa"/>
              <w:bottom w:w="90" w:type="dxa"/>
              <w:right w:w="120" w:type="dxa"/>
            </w:tcMar>
            <w:vAlign w:val="center"/>
          </w:tcPr>
          <w:p w14:paraId="6EB3680F"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12.4%</w:t>
            </w:r>
          </w:p>
        </w:tc>
        <w:tc>
          <w:tcPr>
            <w:tcW w:w="2459" w:type="dxa"/>
            <w:tcMar>
              <w:top w:w="90" w:type="dxa"/>
              <w:left w:w="120" w:type="dxa"/>
              <w:bottom w:w="90" w:type="dxa"/>
              <w:right w:w="120" w:type="dxa"/>
            </w:tcMar>
            <w:vAlign w:val="center"/>
          </w:tcPr>
          <w:p w14:paraId="6EB36810"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−0.5pp</w:t>
            </w:r>
          </w:p>
        </w:tc>
      </w:tr>
      <w:tr w:rsidR="00813CB8" w:rsidRPr="00312B84" w14:paraId="6EB36816" w14:textId="77777777">
        <w:trPr>
          <w:cantSplit/>
        </w:trPr>
        <w:tc>
          <w:tcPr>
            <w:tcW w:w="4097" w:type="dxa"/>
            <w:shd w:val="clear" w:color="auto" w:fill="EEF2F6"/>
            <w:tcMar>
              <w:top w:w="90" w:type="dxa"/>
              <w:left w:w="120" w:type="dxa"/>
              <w:bottom w:w="90" w:type="dxa"/>
              <w:right w:w="120" w:type="dxa"/>
            </w:tcMar>
            <w:vAlign w:val="center"/>
          </w:tcPr>
          <w:p w14:paraId="6EB36812" w14:textId="77777777" w:rsidR="00813CB8" w:rsidRPr="00312B84" w:rsidRDefault="002B4BED">
            <w:pPr>
              <w:spacing w:after="40"/>
              <w:rPr>
                <w:sz w:val="24"/>
                <w:szCs w:val="24"/>
              </w:rPr>
            </w:pPr>
            <w:r w:rsidRPr="00312B84">
              <w:rPr>
                <w:rFonts w:ascii="Arial" w:eastAsia="Arial" w:hAnsi="Arial" w:cs="Arial"/>
                <w:color w:val="22303C"/>
                <w:sz w:val="20"/>
                <w:szCs w:val="20"/>
              </w:rPr>
              <w:t>Diversified Financial Services</w:t>
            </w:r>
          </w:p>
        </w:tc>
        <w:tc>
          <w:tcPr>
            <w:tcW w:w="1844" w:type="dxa"/>
            <w:tcMar>
              <w:top w:w="90" w:type="dxa"/>
              <w:left w:w="120" w:type="dxa"/>
              <w:bottom w:w="90" w:type="dxa"/>
              <w:right w:w="120" w:type="dxa"/>
            </w:tcMar>
            <w:vAlign w:val="center"/>
          </w:tcPr>
          <w:p w14:paraId="6EB36813"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10.0%</w:t>
            </w:r>
          </w:p>
        </w:tc>
        <w:tc>
          <w:tcPr>
            <w:tcW w:w="1844" w:type="dxa"/>
            <w:tcMar>
              <w:top w:w="90" w:type="dxa"/>
              <w:left w:w="120" w:type="dxa"/>
              <w:bottom w:w="90" w:type="dxa"/>
              <w:right w:w="120" w:type="dxa"/>
            </w:tcMar>
            <w:vAlign w:val="center"/>
          </w:tcPr>
          <w:p w14:paraId="6EB36814"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9.9%</w:t>
            </w:r>
          </w:p>
        </w:tc>
        <w:tc>
          <w:tcPr>
            <w:tcW w:w="2459" w:type="dxa"/>
            <w:tcMar>
              <w:top w:w="90" w:type="dxa"/>
              <w:left w:w="120" w:type="dxa"/>
              <w:bottom w:w="90" w:type="dxa"/>
              <w:right w:w="120" w:type="dxa"/>
            </w:tcMar>
            <w:vAlign w:val="center"/>
          </w:tcPr>
          <w:p w14:paraId="6EB36815"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−0.1pp</w:t>
            </w:r>
          </w:p>
        </w:tc>
      </w:tr>
      <w:tr w:rsidR="00813CB8" w:rsidRPr="00312B84" w14:paraId="6EB3681B" w14:textId="77777777">
        <w:trPr>
          <w:cantSplit/>
        </w:trPr>
        <w:tc>
          <w:tcPr>
            <w:tcW w:w="4097" w:type="dxa"/>
            <w:shd w:val="clear" w:color="auto" w:fill="EEF2F6"/>
            <w:tcMar>
              <w:top w:w="90" w:type="dxa"/>
              <w:left w:w="120" w:type="dxa"/>
              <w:bottom w:w="90" w:type="dxa"/>
              <w:right w:w="120" w:type="dxa"/>
            </w:tcMar>
            <w:vAlign w:val="center"/>
          </w:tcPr>
          <w:p w14:paraId="6EB36817" w14:textId="77777777" w:rsidR="00813CB8" w:rsidRPr="00312B84" w:rsidRDefault="002B4BED">
            <w:pPr>
              <w:spacing w:after="40"/>
              <w:rPr>
                <w:sz w:val="24"/>
                <w:szCs w:val="24"/>
              </w:rPr>
            </w:pPr>
            <w:r w:rsidRPr="00312B84">
              <w:rPr>
                <w:rFonts w:ascii="Arial" w:eastAsia="Arial" w:hAnsi="Arial" w:cs="Arial"/>
                <w:color w:val="22303C"/>
                <w:sz w:val="20"/>
                <w:szCs w:val="20"/>
              </w:rPr>
              <w:t>Professional Services</w:t>
            </w:r>
          </w:p>
        </w:tc>
        <w:tc>
          <w:tcPr>
            <w:tcW w:w="1844" w:type="dxa"/>
            <w:tcMar>
              <w:top w:w="90" w:type="dxa"/>
              <w:left w:w="120" w:type="dxa"/>
              <w:bottom w:w="90" w:type="dxa"/>
              <w:right w:w="120" w:type="dxa"/>
            </w:tcMar>
            <w:vAlign w:val="center"/>
          </w:tcPr>
          <w:p w14:paraId="6EB36818"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6.7%</w:t>
            </w:r>
          </w:p>
        </w:tc>
        <w:tc>
          <w:tcPr>
            <w:tcW w:w="1844" w:type="dxa"/>
            <w:tcMar>
              <w:top w:w="90" w:type="dxa"/>
              <w:left w:w="120" w:type="dxa"/>
              <w:bottom w:w="90" w:type="dxa"/>
              <w:right w:w="120" w:type="dxa"/>
            </w:tcMar>
            <w:vAlign w:val="center"/>
          </w:tcPr>
          <w:p w14:paraId="6EB36819"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6.4%</w:t>
            </w:r>
          </w:p>
        </w:tc>
        <w:tc>
          <w:tcPr>
            <w:tcW w:w="2459" w:type="dxa"/>
            <w:tcMar>
              <w:top w:w="90" w:type="dxa"/>
              <w:left w:w="120" w:type="dxa"/>
              <w:bottom w:w="90" w:type="dxa"/>
              <w:right w:w="120" w:type="dxa"/>
            </w:tcMar>
            <w:vAlign w:val="center"/>
          </w:tcPr>
          <w:p w14:paraId="6EB3681A"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−0.3pp</w:t>
            </w:r>
          </w:p>
        </w:tc>
      </w:tr>
      <w:tr w:rsidR="00813CB8" w:rsidRPr="00312B84" w14:paraId="6EB36820" w14:textId="77777777">
        <w:trPr>
          <w:cantSplit/>
        </w:trPr>
        <w:tc>
          <w:tcPr>
            <w:tcW w:w="4097" w:type="dxa"/>
            <w:shd w:val="clear" w:color="auto" w:fill="EEF2F6"/>
            <w:tcMar>
              <w:top w:w="90" w:type="dxa"/>
              <w:left w:w="120" w:type="dxa"/>
              <w:bottom w:w="90" w:type="dxa"/>
              <w:right w:w="120" w:type="dxa"/>
            </w:tcMar>
            <w:vAlign w:val="center"/>
          </w:tcPr>
          <w:p w14:paraId="6EB3681C" w14:textId="77777777" w:rsidR="00813CB8" w:rsidRPr="00312B84" w:rsidRDefault="002B4BED">
            <w:pPr>
              <w:spacing w:after="40"/>
              <w:rPr>
                <w:sz w:val="24"/>
                <w:szCs w:val="24"/>
              </w:rPr>
            </w:pPr>
            <w:r w:rsidRPr="00312B84">
              <w:rPr>
                <w:rFonts w:ascii="Arial" w:eastAsia="Arial" w:hAnsi="Arial" w:cs="Arial"/>
                <w:color w:val="22303C"/>
                <w:sz w:val="20"/>
                <w:szCs w:val="20"/>
              </w:rPr>
              <w:t>Insurance</w:t>
            </w:r>
          </w:p>
        </w:tc>
        <w:tc>
          <w:tcPr>
            <w:tcW w:w="1844" w:type="dxa"/>
            <w:tcMar>
              <w:top w:w="90" w:type="dxa"/>
              <w:left w:w="120" w:type="dxa"/>
              <w:bottom w:w="90" w:type="dxa"/>
              <w:right w:w="120" w:type="dxa"/>
            </w:tcMar>
            <w:vAlign w:val="center"/>
          </w:tcPr>
          <w:p w14:paraId="6EB3681D"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3.9%</w:t>
            </w:r>
          </w:p>
        </w:tc>
        <w:tc>
          <w:tcPr>
            <w:tcW w:w="1844" w:type="dxa"/>
            <w:tcMar>
              <w:top w:w="90" w:type="dxa"/>
              <w:left w:w="120" w:type="dxa"/>
              <w:bottom w:w="90" w:type="dxa"/>
              <w:right w:w="120" w:type="dxa"/>
            </w:tcMar>
            <w:vAlign w:val="center"/>
          </w:tcPr>
          <w:p w14:paraId="6EB3681E"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3.7%</w:t>
            </w:r>
          </w:p>
        </w:tc>
        <w:tc>
          <w:tcPr>
            <w:tcW w:w="2459" w:type="dxa"/>
            <w:tcMar>
              <w:top w:w="90" w:type="dxa"/>
              <w:left w:w="120" w:type="dxa"/>
              <w:bottom w:w="90" w:type="dxa"/>
              <w:right w:w="120" w:type="dxa"/>
            </w:tcMar>
            <w:vAlign w:val="center"/>
          </w:tcPr>
          <w:p w14:paraId="6EB3681F"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−0.2pp</w:t>
            </w:r>
          </w:p>
        </w:tc>
      </w:tr>
      <w:tr w:rsidR="00813CB8" w:rsidRPr="00312B84" w14:paraId="6EB36825" w14:textId="77777777">
        <w:trPr>
          <w:cantSplit/>
        </w:trPr>
        <w:tc>
          <w:tcPr>
            <w:tcW w:w="4097" w:type="dxa"/>
            <w:shd w:val="clear" w:color="auto" w:fill="EEF2F6"/>
            <w:tcMar>
              <w:top w:w="90" w:type="dxa"/>
              <w:left w:w="120" w:type="dxa"/>
              <w:bottom w:w="90" w:type="dxa"/>
              <w:right w:w="120" w:type="dxa"/>
            </w:tcMar>
            <w:vAlign w:val="center"/>
          </w:tcPr>
          <w:p w14:paraId="6EB36821" w14:textId="77777777" w:rsidR="00813CB8" w:rsidRPr="00312B84" w:rsidRDefault="002B4BED">
            <w:pPr>
              <w:spacing w:after="40"/>
              <w:rPr>
                <w:sz w:val="24"/>
                <w:szCs w:val="24"/>
              </w:rPr>
            </w:pPr>
            <w:r w:rsidRPr="00312B84">
              <w:rPr>
                <w:rFonts w:ascii="Arial" w:eastAsia="Arial" w:hAnsi="Arial" w:cs="Arial"/>
                <w:color w:val="22303C"/>
                <w:sz w:val="20"/>
                <w:szCs w:val="20"/>
              </w:rPr>
              <w:t>IT Services</w:t>
            </w:r>
          </w:p>
        </w:tc>
        <w:tc>
          <w:tcPr>
            <w:tcW w:w="1844" w:type="dxa"/>
            <w:tcMar>
              <w:top w:w="90" w:type="dxa"/>
              <w:left w:w="120" w:type="dxa"/>
              <w:bottom w:w="90" w:type="dxa"/>
              <w:right w:w="120" w:type="dxa"/>
            </w:tcMar>
            <w:vAlign w:val="center"/>
          </w:tcPr>
          <w:p w14:paraId="6EB36822"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4.1%</w:t>
            </w:r>
          </w:p>
        </w:tc>
        <w:tc>
          <w:tcPr>
            <w:tcW w:w="1844" w:type="dxa"/>
            <w:tcMar>
              <w:top w:w="90" w:type="dxa"/>
              <w:left w:w="120" w:type="dxa"/>
              <w:bottom w:w="90" w:type="dxa"/>
              <w:right w:w="120" w:type="dxa"/>
            </w:tcMar>
            <w:vAlign w:val="center"/>
          </w:tcPr>
          <w:p w14:paraId="6EB36823"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3.6%</w:t>
            </w:r>
          </w:p>
        </w:tc>
        <w:tc>
          <w:tcPr>
            <w:tcW w:w="2459" w:type="dxa"/>
            <w:tcMar>
              <w:top w:w="90" w:type="dxa"/>
              <w:left w:w="120" w:type="dxa"/>
              <w:bottom w:w="90" w:type="dxa"/>
              <w:right w:w="120" w:type="dxa"/>
            </w:tcMar>
            <w:vAlign w:val="center"/>
          </w:tcPr>
          <w:p w14:paraId="6EB36824"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−0.5pp</w:t>
            </w:r>
          </w:p>
        </w:tc>
      </w:tr>
      <w:tr w:rsidR="00813CB8" w:rsidRPr="00312B84" w14:paraId="6EB3682A" w14:textId="77777777">
        <w:trPr>
          <w:cantSplit/>
        </w:trPr>
        <w:tc>
          <w:tcPr>
            <w:tcW w:w="4097" w:type="dxa"/>
            <w:shd w:val="clear" w:color="auto" w:fill="EEF2F6"/>
            <w:tcMar>
              <w:top w:w="90" w:type="dxa"/>
              <w:left w:w="120" w:type="dxa"/>
              <w:bottom w:w="90" w:type="dxa"/>
              <w:right w:w="120" w:type="dxa"/>
            </w:tcMar>
            <w:vAlign w:val="center"/>
          </w:tcPr>
          <w:p w14:paraId="6EB36826" w14:textId="77777777" w:rsidR="00813CB8" w:rsidRPr="00312B84" w:rsidRDefault="002B4BED">
            <w:pPr>
              <w:spacing w:after="40"/>
              <w:rPr>
                <w:sz w:val="24"/>
                <w:szCs w:val="24"/>
              </w:rPr>
            </w:pPr>
            <w:r w:rsidRPr="00312B84">
              <w:rPr>
                <w:rFonts w:ascii="Arial" w:eastAsia="Arial" w:hAnsi="Arial" w:cs="Arial"/>
                <w:color w:val="22303C"/>
                <w:sz w:val="20"/>
                <w:szCs w:val="20"/>
              </w:rPr>
              <w:t>Health Care Providers &amp; Services</w:t>
            </w:r>
          </w:p>
        </w:tc>
        <w:tc>
          <w:tcPr>
            <w:tcW w:w="1844" w:type="dxa"/>
            <w:tcMar>
              <w:top w:w="90" w:type="dxa"/>
              <w:left w:w="120" w:type="dxa"/>
              <w:bottom w:w="90" w:type="dxa"/>
              <w:right w:w="120" w:type="dxa"/>
            </w:tcMar>
            <w:vAlign w:val="center"/>
          </w:tcPr>
          <w:p w14:paraId="6EB36827"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3.0%</w:t>
            </w:r>
          </w:p>
        </w:tc>
        <w:tc>
          <w:tcPr>
            <w:tcW w:w="1844" w:type="dxa"/>
            <w:tcMar>
              <w:top w:w="90" w:type="dxa"/>
              <w:left w:w="120" w:type="dxa"/>
              <w:bottom w:w="90" w:type="dxa"/>
              <w:right w:w="120" w:type="dxa"/>
            </w:tcMar>
            <w:vAlign w:val="center"/>
          </w:tcPr>
          <w:p w14:paraId="6EB36828"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2.9%</w:t>
            </w:r>
          </w:p>
        </w:tc>
        <w:tc>
          <w:tcPr>
            <w:tcW w:w="2459" w:type="dxa"/>
            <w:tcMar>
              <w:top w:w="90" w:type="dxa"/>
              <w:left w:w="120" w:type="dxa"/>
              <w:bottom w:w="90" w:type="dxa"/>
              <w:right w:w="120" w:type="dxa"/>
            </w:tcMar>
            <w:vAlign w:val="center"/>
          </w:tcPr>
          <w:p w14:paraId="6EB36829"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−0.1pp</w:t>
            </w:r>
          </w:p>
        </w:tc>
      </w:tr>
      <w:tr w:rsidR="00813CB8" w:rsidRPr="00312B84" w14:paraId="6EB3682F" w14:textId="77777777">
        <w:trPr>
          <w:cantSplit/>
        </w:trPr>
        <w:tc>
          <w:tcPr>
            <w:tcW w:w="4097" w:type="dxa"/>
            <w:shd w:val="clear" w:color="auto" w:fill="EEF2F6"/>
            <w:tcMar>
              <w:top w:w="90" w:type="dxa"/>
              <w:left w:w="120" w:type="dxa"/>
              <w:bottom w:w="90" w:type="dxa"/>
              <w:right w:w="120" w:type="dxa"/>
            </w:tcMar>
            <w:vAlign w:val="center"/>
          </w:tcPr>
          <w:p w14:paraId="6EB3682B" w14:textId="77777777" w:rsidR="00813CB8" w:rsidRPr="00312B84" w:rsidRDefault="002B4BED">
            <w:pPr>
              <w:spacing w:after="40"/>
              <w:rPr>
                <w:sz w:val="24"/>
                <w:szCs w:val="24"/>
              </w:rPr>
            </w:pPr>
            <w:r w:rsidRPr="00312B84">
              <w:rPr>
                <w:rFonts w:ascii="Arial" w:eastAsia="Arial" w:hAnsi="Arial" w:cs="Arial"/>
                <w:color w:val="22303C"/>
                <w:sz w:val="20"/>
                <w:szCs w:val="20"/>
              </w:rPr>
              <w:t>Aerospace &amp; Defense</w:t>
            </w:r>
          </w:p>
        </w:tc>
        <w:tc>
          <w:tcPr>
            <w:tcW w:w="1844" w:type="dxa"/>
            <w:tcMar>
              <w:top w:w="90" w:type="dxa"/>
              <w:left w:w="120" w:type="dxa"/>
              <w:bottom w:w="90" w:type="dxa"/>
              <w:right w:w="120" w:type="dxa"/>
            </w:tcMar>
            <w:vAlign w:val="center"/>
          </w:tcPr>
          <w:p w14:paraId="6EB3682C"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2.3%</w:t>
            </w:r>
          </w:p>
        </w:tc>
        <w:tc>
          <w:tcPr>
            <w:tcW w:w="1844" w:type="dxa"/>
            <w:tcMar>
              <w:top w:w="90" w:type="dxa"/>
              <w:left w:w="120" w:type="dxa"/>
              <w:bottom w:w="90" w:type="dxa"/>
              <w:right w:w="120" w:type="dxa"/>
            </w:tcMar>
            <w:vAlign w:val="center"/>
          </w:tcPr>
          <w:p w14:paraId="6EB3682D"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2.6%</w:t>
            </w:r>
          </w:p>
        </w:tc>
        <w:tc>
          <w:tcPr>
            <w:tcW w:w="2459" w:type="dxa"/>
            <w:tcMar>
              <w:top w:w="90" w:type="dxa"/>
              <w:left w:w="120" w:type="dxa"/>
              <w:bottom w:w="90" w:type="dxa"/>
              <w:right w:w="120" w:type="dxa"/>
            </w:tcMar>
            <w:vAlign w:val="center"/>
          </w:tcPr>
          <w:p w14:paraId="6EB3682E"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+0.3pp</w:t>
            </w:r>
          </w:p>
        </w:tc>
      </w:tr>
      <w:tr w:rsidR="00813CB8" w:rsidRPr="00312B84" w14:paraId="6EB36834" w14:textId="77777777">
        <w:trPr>
          <w:cantSplit/>
        </w:trPr>
        <w:tc>
          <w:tcPr>
            <w:tcW w:w="4097" w:type="dxa"/>
            <w:shd w:val="clear" w:color="auto" w:fill="EEF2F6"/>
            <w:tcMar>
              <w:top w:w="90" w:type="dxa"/>
              <w:left w:w="120" w:type="dxa"/>
              <w:bottom w:w="90" w:type="dxa"/>
              <w:right w:w="120" w:type="dxa"/>
            </w:tcMar>
            <w:vAlign w:val="center"/>
          </w:tcPr>
          <w:p w14:paraId="6EB36830" w14:textId="77777777" w:rsidR="00813CB8" w:rsidRPr="00312B84" w:rsidRDefault="002B4BED">
            <w:pPr>
              <w:spacing w:after="40"/>
              <w:rPr>
                <w:sz w:val="24"/>
                <w:szCs w:val="24"/>
              </w:rPr>
            </w:pPr>
            <w:r w:rsidRPr="00312B84">
              <w:rPr>
                <w:rFonts w:ascii="Arial" w:eastAsia="Arial" w:hAnsi="Arial" w:cs="Arial"/>
                <w:color w:val="22303C"/>
                <w:sz w:val="20"/>
                <w:szCs w:val="20"/>
              </w:rPr>
              <w:t>Diversified Consumer Services</w:t>
            </w:r>
          </w:p>
        </w:tc>
        <w:tc>
          <w:tcPr>
            <w:tcW w:w="1844" w:type="dxa"/>
            <w:tcMar>
              <w:top w:w="90" w:type="dxa"/>
              <w:left w:w="120" w:type="dxa"/>
              <w:bottom w:w="90" w:type="dxa"/>
              <w:right w:w="120" w:type="dxa"/>
            </w:tcMar>
            <w:vAlign w:val="center"/>
          </w:tcPr>
          <w:p w14:paraId="6EB36831"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2.4%</w:t>
            </w:r>
          </w:p>
        </w:tc>
        <w:tc>
          <w:tcPr>
            <w:tcW w:w="1844" w:type="dxa"/>
            <w:tcMar>
              <w:top w:w="90" w:type="dxa"/>
              <w:left w:w="120" w:type="dxa"/>
              <w:bottom w:w="90" w:type="dxa"/>
              <w:right w:w="120" w:type="dxa"/>
            </w:tcMar>
            <w:vAlign w:val="center"/>
          </w:tcPr>
          <w:p w14:paraId="6EB36832"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2.3%</w:t>
            </w:r>
          </w:p>
        </w:tc>
        <w:tc>
          <w:tcPr>
            <w:tcW w:w="2459" w:type="dxa"/>
            <w:tcMar>
              <w:top w:w="90" w:type="dxa"/>
              <w:left w:w="120" w:type="dxa"/>
              <w:bottom w:w="90" w:type="dxa"/>
              <w:right w:w="120" w:type="dxa"/>
            </w:tcMar>
            <w:vAlign w:val="center"/>
          </w:tcPr>
          <w:p w14:paraId="6EB36833"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−0.1pp</w:t>
            </w:r>
          </w:p>
        </w:tc>
      </w:tr>
      <w:tr w:rsidR="00813CB8" w:rsidRPr="00312B84" w14:paraId="6EB36839" w14:textId="77777777">
        <w:trPr>
          <w:cantSplit/>
        </w:trPr>
        <w:tc>
          <w:tcPr>
            <w:tcW w:w="4097" w:type="dxa"/>
            <w:shd w:val="clear" w:color="auto" w:fill="EEF2F6"/>
            <w:tcMar>
              <w:top w:w="90" w:type="dxa"/>
              <w:left w:w="120" w:type="dxa"/>
              <w:bottom w:w="90" w:type="dxa"/>
              <w:right w:w="120" w:type="dxa"/>
            </w:tcMar>
            <w:vAlign w:val="center"/>
          </w:tcPr>
          <w:p w14:paraId="6EB36835" w14:textId="77777777" w:rsidR="00813CB8" w:rsidRPr="00312B84" w:rsidRDefault="002B4BED">
            <w:pPr>
              <w:spacing w:after="40"/>
              <w:rPr>
                <w:sz w:val="24"/>
                <w:szCs w:val="24"/>
              </w:rPr>
            </w:pPr>
            <w:r w:rsidRPr="00312B84">
              <w:rPr>
                <w:rFonts w:ascii="Arial" w:eastAsia="Arial" w:hAnsi="Arial" w:cs="Arial"/>
                <w:color w:val="22303C"/>
                <w:sz w:val="20"/>
                <w:szCs w:val="20"/>
              </w:rPr>
              <w:t>Other industries</w:t>
            </w:r>
          </w:p>
        </w:tc>
        <w:tc>
          <w:tcPr>
            <w:tcW w:w="1844" w:type="dxa"/>
            <w:tcMar>
              <w:top w:w="90" w:type="dxa"/>
              <w:left w:w="120" w:type="dxa"/>
              <w:bottom w:w="90" w:type="dxa"/>
              <w:right w:w="120" w:type="dxa"/>
            </w:tcMar>
            <w:vAlign w:val="center"/>
          </w:tcPr>
          <w:p w14:paraId="6EB36836"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22.1%</w:t>
            </w:r>
          </w:p>
        </w:tc>
        <w:tc>
          <w:tcPr>
            <w:tcW w:w="1844" w:type="dxa"/>
            <w:tcMar>
              <w:top w:w="90" w:type="dxa"/>
              <w:left w:w="120" w:type="dxa"/>
              <w:bottom w:w="90" w:type="dxa"/>
              <w:right w:w="120" w:type="dxa"/>
            </w:tcMar>
            <w:vAlign w:val="center"/>
          </w:tcPr>
          <w:p w14:paraId="6EB36837"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23.4%</w:t>
            </w:r>
          </w:p>
        </w:tc>
        <w:tc>
          <w:tcPr>
            <w:tcW w:w="2459" w:type="dxa"/>
            <w:tcMar>
              <w:top w:w="90" w:type="dxa"/>
              <w:left w:w="120" w:type="dxa"/>
              <w:bottom w:w="90" w:type="dxa"/>
              <w:right w:w="120" w:type="dxa"/>
            </w:tcMar>
            <w:vAlign w:val="center"/>
          </w:tcPr>
          <w:p w14:paraId="6EB36838"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+1.3pp</w:t>
            </w:r>
          </w:p>
        </w:tc>
      </w:tr>
      <w:tr w:rsidR="00813CB8" w:rsidRPr="00312B84" w14:paraId="6EB3683E" w14:textId="77777777">
        <w:trPr>
          <w:cantSplit/>
        </w:trPr>
        <w:tc>
          <w:tcPr>
            <w:tcW w:w="4097" w:type="dxa"/>
            <w:shd w:val="clear" w:color="auto" w:fill="EEF2F6"/>
            <w:tcMar>
              <w:top w:w="90" w:type="dxa"/>
              <w:left w:w="120" w:type="dxa"/>
              <w:bottom w:w="90" w:type="dxa"/>
              <w:right w:w="120" w:type="dxa"/>
            </w:tcMar>
            <w:vAlign w:val="center"/>
          </w:tcPr>
          <w:p w14:paraId="6EB3683A" w14:textId="77777777" w:rsidR="00813CB8" w:rsidRPr="00312B84" w:rsidRDefault="002B4BED">
            <w:pPr>
              <w:spacing w:after="40"/>
              <w:rPr>
                <w:sz w:val="24"/>
                <w:szCs w:val="24"/>
              </w:rPr>
            </w:pPr>
            <w:r w:rsidRPr="00312B84">
              <w:rPr>
                <w:rFonts w:ascii="Arial" w:eastAsia="Arial" w:hAnsi="Arial" w:cs="Arial"/>
                <w:b/>
                <w:bCs/>
                <w:color w:val="22303C"/>
                <w:sz w:val="20"/>
                <w:szCs w:val="20"/>
              </w:rPr>
              <w:t>Total</w:t>
            </w:r>
          </w:p>
        </w:tc>
        <w:tc>
          <w:tcPr>
            <w:tcW w:w="1844" w:type="dxa"/>
            <w:tcMar>
              <w:top w:w="90" w:type="dxa"/>
              <w:left w:w="120" w:type="dxa"/>
              <w:bottom w:w="90" w:type="dxa"/>
              <w:right w:w="120" w:type="dxa"/>
            </w:tcMar>
            <w:vAlign w:val="center"/>
          </w:tcPr>
          <w:p w14:paraId="6EB3683B" w14:textId="77777777" w:rsidR="00813CB8" w:rsidRPr="00312B84" w:rsidRDefault="002B4BED">
            <w:pPr>
              <w:spacing w:after="40"/>
              <w:rPr>
                <w:sz w:val="24"/>
                <w:szCs w:val="24"/>
              </w:rPr>
            </w:pPr>
            <w:r w:rsidRPr="00312B84">
              <w:rPr>
                <w:rFonts w:ascii="Arial" w:eastAsia="Arial" w:hAnsi="Arial" w:cs="Arial"/>
                <w:b/>
                <w:bCs/>
                <w:color w:val="22303C"/>
                <w:sz w:val="20"/>
                <w:szCs w:val="20"/>
              </w:rPr>
              <w:t>100.0%</w:t>
            </w:r>
          </w:p>
        </w:tc>
        <w:tc>
          <w:tcPr>
            <w:tcW w:w="1844" w:type="dxa"/>
            <w:tcMar>
              <w:top w:w="90" w:type="dxa"/>
              <w:left w:w="120" w:type="dxa"/>
              <w:bottom w:w="90" w:type="dxa"/>
              <w:right w:w="120" w:type="dxa"/>
            </w:tcMar>
            <w:vAlign w:val="center"/>
          </w:tcPr>
          <w:p w14:paraId="6EB3683C" w14:textId="77777777" w:rsidR="00813CB8" w:rsidRPr="00312B84" w:rsidRDefault="002B4BED">
            <w:pPr>
              <w:spacing w:after="40"/>
              <w:rPr>
                <w:sz w:val="24"/>
                <w:szCs w:val="24"/>
              </w:rPr>
            </w:pPr>
            <w:r w:rsidRPr="00312B84">
              <w:rPr>
                <w:rFonts w:ascii="Arial" w:eastAsia="Arial" w:hAnsi="Arial" w:cs="Arial"/>
                <w:b/>
                <w:bCs/>
                <w:color w:val="22303C"/>
                <w:sz w:val="20"/>
                <w:szCs w:val="20"/>
              </w:rPr>
              <w:t>100.0%</w:t>
            </w:r>
          </w:p>
        </w:tc>
        <w:tc>
          <w:tcPr>
            <w:tcW w:w="2459" w:type="dxa"/>
            <w:tcMar>
              <w:top w:w="90" w:type="dxa"/>
              <w:left w:w="120" w:type="dxa"/>
              <w:bottom w:w="90" w:type="dxa"/>
              <w:right w:w="120" w:type="dxa"/>
            </w:tcMar>
            <w:vAlign w:val="center"/>
          </w:tcPr>
          <w:p w14:paraId="6EB3683D"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w:t>
            </w:r>
          </w:p>
        </w:tc>
      </w:tr>
      <w:tr w:rsidR="00813CB8" w:rsidRPr="00312B84" w14:paraId="6EB36843" w14:textId="77777777">
        <w:trPr>
          <w:cantSplit/>
        </w:trPr>
        <w:tc>
          <w:tcPr>
            <w:tcW w:w="4097" w:type="dxa"/>
            <w:shd w:val="clear" w:color="auto" w:fill="EEF2F6"/>
            <w:tcMar>
              <w:top w:w="90" w:type="dxa"/>
              <w:left w:w="120" w:type="dxa"/>
              <w:bottom w:w="90" w:type="dxa"/>
              <w:right w:w="120" w:type="dxa"/>
            </w:tcMar>
            <w:vAlign w:val="center"/>
          </w:tcPr>
          <w:p w14:paraId="6EB3683F" w14:textId="77777777" w:rsidR="00813CB8" w:rsidRPr="00312B84" w:rsidRDefault="002B4BED">
            <w:pPr>
              <w:spacing w:after="40"/>
              <w:rPr>
                <w:sz w:val="24"/>
                <w:szCs w:val="24"/>
              </w:rPr>
            </w:pPr>
            <w:r w:rsidRPr="00312B84">
              <w:rPr>
                <w:rFonts w:ascii="Arial" w:eastAsia="Arial" w:hAnsi="Arial" w:cs="Arial"/>
                <w:color w:val="22303C"/>
                <w:sz w:val="20"/>
                <w:szCs w:val="20"/>
              </w:rPr>
              <w:t>Memo: Systems + Application Software</w:t>
            </w:r>
          </w:p>
        </w:tc>
        <w:tc>
          <w:tcPr>
            <w:tcW w:w="1844" w:type="dxa"/>
            <w:tcMar>
              <w:top w:w="90" w:type="dxa"/>
              <w:left w:w="120" w:type="dxa"/>
              <w:bottom w:w="90" w:type="dxa"/>
              <w:right w:w="120" w:type="dxa"/>
            </w:tcMar>
            <w:vAlign w:val="center"/>
          </w:tcPr>
          <w:p w14:paraId="6EB36840"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32.6%</w:t>
            </w:r>
          </w:p>
        </w:tc>
        <w:tc>
          <w:tcPr>
            <w:tcW w:w="1844" w:type="dxa"/>
            <w:tcMar>
              <w:top w:w="90" w:type="dxa"/>
              <w:left w:w="120" w:type="dxa"/>
              <w:bottom w:w="90" w:type="dxa"/>
              <w:right w:w="120" w:type="dxa"/>
            </w:tcMar>
            <w:vAlign w:val="center"/>
          </w:tcPr>
          <w:p w14:paraId="6EB36841"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32.8%</w:t>
            </w:r>
          </w:p>
        </w:tc>
        <w:tc>
          <w:tcPr>
            <w:tcW w:w="2459" w:type="dxa"/>
            <w:tcMar>
              <w:top w:w="90" w:type="dxa"/>
              <w:left w:w="120" w:type="dxa"/>
              <w:bottom w:w="90" w:type="dxa"/>
              <w:right w:w="120" w:type="dxa"/>
            </w:tcMar>
            <w:vAlign w:val="center"/>
          </w:tcPr>
          <w:p w14:paraId="6EB36842"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+0.2pp</w:t>
            </w:r>
          </w:p>
        </w:tc>
      </w:tr>
      <w:tr w:rsidR="00813CB8" w:rsidRPr="00312B84" w14:paraId="6EB36848" w14:textId="77777777">
        <w:trPr>
          <w:cantSplit/>
        </w:trPr>
        <w:tc>
          <w:tcPr>
            <w:tcW w:w="4097" w:type="dxa"/>
            <w:shd w:val="clear" w:color="auto" w:fill="EEF2F6"/>
            <w:tcMar>
              <w:top w:w="90" w:type="dxa"/>
              <w:left w:w="120" w:type="dxa"/>
              <w:bottom w:w="90" w:type="dxa"/>
              <w:right w:w="120" w:type="dxa"/>
            </w:tcMar>
            <w:vAlign w:val="center"/>
          </w:tcPr>
          <w:p w14:paraId="6EB36844" w14:textId="77777777" w:rsidR="00813CB8" w:rsidRPr="00312B84" w:rsidRDefault="002B4BED">
            <w:pPr>
              <w:spacing w:after="40"/>
              <w:rPr>
                <w:sz w:val="24"/>
                <w:szCs w:val="24"/>
              </w:rPr>
            </w:pPr>
            <w:r w:rsidRPr="00312B84">
              <w:rPr>
                <w:rFonts w:ascii="Arial" w:eastAsia="Arial" w:hAnsi="Arial" w:cs="Arial"/>
                <w:color w:val="22303C"/>
                <w:sz w:val="20"/>
                <w:szCs w:val="20"/>
              </w:rPr>
              <w:t>Memo: top ten industries</w:t>
            </w:r>
          </w:p>
        </w:tc>
        <w:tc>
          <w:tcPr>
            <w:tcW w:w="1844" w:type="dxa"/>
            <w:tcMar>
              <w:top w:w="90" w:type="dxa"/>
              <w:left w:w="120" w:type="dxa"/>
              <w:bottom w:w="90" w:type="dxa"/>
              <w:right w:w="120" w:type="dxa"/>
            </w:tcMar>
            <w:vAlign w:val="center"/>
          </w:tcPr>
          <w:p w14:paraId="6EB36845"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77.9%</w:t>
            </w:r>
          </w:p>
        </w:tc>
        <w:tc>
          <w:tcPr>
            <w:tcW w:w="1844" w:type="dxa"/>
            <w:tcMar>
              <w:top w:w="90" w:type="dxa"/>
              <w:left w:w="120" w:type="dxa"/>
              <w:bottom w:w="90" w:type="dxa"/>
              <w:right w:w="120" w:type="dxa"/>
            </w:tcMar>
            <w:vAlign w:val="center"/>
          </w:tcPr>
          <w:p w14:paraId="6EB36846"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76.6%</w:t>
            </w:r>
          </w:p>
        </w:tc>
        <w:tc>
          <w:tcPr>
            <w:tcW w:w="2459" w:type="dxa"/>
            <w:tcMar>
              <w:top w:w="90" w:type="dxa"/>
              <w:left w:w="120" w:type="dxa"/>
              <w:bottom w:w="90" w:type="dxa"/>
              <w:right w:w="120" w:type="dxa"/>
            </w:tcMar>
            <w:vAlign w:val="center"/>
          </w:tcPr>
          <w:p w14:paraId="6EB36847"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−1.3pp</w:t>
            </w:r>
          </w:p>
        </w:tc>
      </w:tr>
      <w:tr w:rsidR="00813CB8" w:rsidRPr="00312B84" w14:paraId="6EB3684D" w14:textId="77777777">
        <w:trPr>
          <w:cantSplit/>
        </w:trPr>
        <w:tc>
          <w:tcPr>
            <w:tcW w:w="4097" w:type="dxa"/>
            <w:shd w:val="clear" w:color="auto" w:fill="EEF2F6"/>
            <w:tcMar>
              <w:top w:w="90" w:type="dxa"/>
              <w:left w:w="120" w:type="dxa"/>
              <w:bottom w:w="90" w:type="dxa"/>
              <w:right w:w="120" w:type="dxa"/>
            </w:tcMar>
            <w:vAlign w:val="center"/>
          </w:tcPr>
          <w:p w14:paraId="6EB36849" w14:textId="77777777" w:rsidR="00813CB8" w:rsidRPr="00312B84" w:rsidRDefault="002B4BED">
            <w:pPr>
              <w:spacing w:after="40"/>
              <w:rPr>
                <w:sz w:val="24"/>
                <w:szCs w:val="24"/>
              </w:rPr>
            </w:pPr>
            <w:r w:rsidRPr="00312B84">
              <w:rPr>
                <w:rFonts w:ascii="Arial" w:eastAsia="Arial" w:hAnsi="Arial" w:cs="Arial"/>
                <w:color w:val="22303C"/>
                <w:sz w:val="20"/>
                <w:szCs w:val="20"/>
              </w:rPr>
              <w:t>Memo: number of industries held</w:t>
            </w:r>
          </w:p>
        </w:tc>
        <w:tc>
          <w:tcPr>
            <w:tcW w:w="1844" w:type="dxa"/>
            <w:tcMar>
              <w:top w:w="90" w:type="dxa"/>
              <w:left w:w="120" w:type="dxa"/>
              <w:bottom w:w="90" w:type="dxa"/>
              <w:right w:w="120" w:type="dxa"/>
            </w:tcMar>
            <w:vAlign w:val="center"/>
          </w:tcPr>
          <w:p w14:paraId="6EB3684A"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37</w:t>
            </w:r>
          </w:p>
        </w:tc>
        <w:tc>
          <w:tcPr>
            <w:tcW w:w="1844" w:type="dxa"/>
            <w:tcMar>
              <w:top w:w="90" w:type="dxa"/>
              <w:left w:w="120" w:type="dxa"/>
              <w:bottom w:w="90" w:type="dxa"/>
              <w:right w:w="120" w:type="dxa"/>
            </w:tcMar>
            <w:vAlign w:val="center"/>
          </w:tcPr>
          <w:p w14:paraId="6EB3684B"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39</w:t>
            </w:r>
          </w:p>
        </w:tc>
        <w:tc>
          <w:tcPr>
            <w:tcW w:w="2459" w:type="dxa"/>
            <w:tcMar>
              <w:top w:w="90" w:type="dxa"/>
              <w:left w:w="120" w:type="dxa"/>
              <w:bottom w:w="90" w:type="dxa"/>
              <w:right w:w="120" w:type="dxa"/>
            </w:tcMar>
            <w:vAlign w:val="center"/>
          </w:tcPr>
          <w:p w14:paraId="6EB3684C"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+2</w:t>
            </w:r>
          </w:p>
        </w:tc>
      </w:tr>
    </w:tbl>
    <w:p w14:paraId="6EB3684E" w14:textId="77777777" w:rsidR="00813CB8" w:rsidRPr="00312B84" w:rsidRDefault="002B4BED">
      <w:pPr>
        <w:spacing w:after="200"/>
        <w:ind w:left="200"/>
        <w:rPr>
          <w:sz w:val="24"/>
          <w:szCs w:val="24"/>
        </w:rPr>
      </w:pPr>
      <w:r w:rsidRPr="00312B84">
        <w:rPr>
          <w:rFonts w:ascii="Arial" w:eastAsia="Arial" w:hAnsi="Arial" w:cs="Arial"/>
          <w:i/>
          <w:iCs/>
          <w:color w:val="5A6B7B"/>
          <w:sz w:val="13"/>
          <w:szCs w:val="13"/>
        </w:rPr>
        <w:t>GICS sub-industry, percent of total investments at fair value. The ten largest are ranked by Q2'26 and the same order is held in both quarters. A 10-Q's comparative column is the prior year end rather than the prior quarter, so the Q1'26 column is taken from the Q1'26 10-Q. Source: OTF Q2'26 and Q1'26 10-Q</w:t>
      </w:r>
    </w:p>
    <w:p w14:paraId="6EB3684F" w14:textId="77777777" w:rsidR="00813CB8" w:rsidRPr="00312B84" w:rsidRDefault="002B4BED">
      <w:pPr>
        <w:spacing w:after="120"/>
        <w:ind w:left="200"/>
        <w:jc w:val="both"/>
        <w:rPr>
          <w:sz w:val="24"/>
          <w:szCs w:val="24"/>
        </w:rPr>
      </w:pPr>
      <w:r w:rsidRPr="00312B84">
        <w:rPr>
          <w:rFonts w:eastAsia="Calibri Light"/>
          <w:color w:val="000000"/>
          <w:sz w:val="24"/>
          <w:szCs w:val="24"/>
        </w:rPr>
        <w:t>The top three industries — Systems Software 17.5%, Application Software 15.3% and Health Care Technology 12.4% — together account for 45.2% of fair value, down 0.3pp QoQ; the notable rotation is within software, where Application Software gained 1.2pp while Systems Software gave up 1.0pp. On the internal AI-impact grading, High-impact industries — Application Software, Systems Software, Internet &amp; Direct Marketing Retail, IT Services and Professional Services — sum to 44.6% of fair value, down 0.7pp QoQ, and Mid-impact industries — the two healthcare buckets, the three diversified-services buckets and Life Sciences Tools — sum to 30.0%, down 0.6pp; the four industries carrying the model's highest 30% default assumption total 27.1%, up 0.3pp.</w:t>
      </w:r>
    </w:p>
    <w:p w14:paraId="6EB36850" w14:textId="77777777" w:rsidR="00813CB8" w:rsidRPr="00312B84" w:rsidRDefault="002B4BED">
      <w:pPr>
        <w:pStyle w:val="3"/>
        <w:spacing w:before="200" w:after="100"/>
        <w:ind w:left="110"/>
        <w:rPr>
          <w:sz w:val="21"/>
          <w:szCs w:val="21"/>
        </w:rPr>
      </w:pPr>
      <w:r w:rsidRPr="00312B84">
        <w:rPr>
          <w:rFonts w:eastAsia="Calibri Light"/>
          <w:color w:val="001F5F"/>
          <w:sz w:val="28"/>
          <w:szCs w:val="28"/>
        </w:rPr>
        <w:t>Software layer exposure</w:t>
      </w:r>
    </w:p>
    <w:tbl>
      <w:tblPr>
        <w:tblW w:w="10244"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CellMar>
          <w:left w:w="10" w:type="dxa"/>
          <w:right w:w="10" w:type="dxa"/>
        </w:tblCellMar>
        <w:tblLook w:val="04A0" w:firstRow="1" w:lastRow="0" w:firstColumn="1" w:lastColumn="0" w:noHBand="0" w:noVBand="1"/>
      </w:tblPr>
      <w:tblGrid>
        <w:gridCol w:w="2459"/>
        <w:gridCol w:w="2254"/>
        <w:gridCol w:w="5531"/>
      </w:tblGrid>
      <w:tr w:rsidR="00813CB8" w:rsidRPr="00312B84" w14:paraId="6EB36854" w14:textId="77777777">
        <w:trPr>
          <w:cantSplit/>
          <w:tblHeader/>
        </w:trPr>
        <w:tc>
          <w:tcPr>
            <w:tcW w:w="2459" w:type="dxa"/>
            <w:shd w:val="clear" w:color="auto" w:fill="1F3B5B"/>
            <w:tcMar>
              <w:top w:w="90" w:type="dxa"/>
              <w:left w:w="120" w:type="dxa"/>
              <w:bottom w:w="90" w:type="dxa"/>
              <w:right w:w="120" w:type="dxa"/>
            </w:tcMar>
            <w:vAlign w:val="center"/>
          </w:tcPr>
          <w:p w14:paraId="6EB36851" w14:textId="77777777" w:rsidR="00813CB8" w:rsidRPr="00312B84" w:rsidRDefault="002B4BED">
            <w:pPr>
              <w:spacing w:after="40"/>
              <w:rPr>
                <w:sz w:val="24"/>
                <w:szCs w:val="24"/>
              </w:rPr>
            </w:pPr>
            <w:r w:rsidRPr="00312B84">
              <w:rPr>
                <w:rFonts w:ascii="Arial" w:eastAsia="Arial" w:hAnsi="Arial" w:cs="Arial"/>
                <w:b/>
                <w:bCs/>
                <w:color w:val="FFFFFF"/>
                <w:sz w:val="20"/>
                <w:szCs w:val="20"/>
              </w:rPr>
              <w:t>Layer</w:t>
            </w:r>
          </w:p>
        </w:tc>
        <w:tc>
          <w:tcPr>
            <w:tcW w:w="2254" w:type="dxa"/>
            <w:shd w:val="clear" w:color="auto" w:fill="1F3B5B"/>
            <w:tcMar>
              <w:top w:w="90" w:type="dxa"/>
              <w:left w:w="120" w:type="dxa"/>
              <w:bottom w:w="90" w:type="dxa"/>
              <w:right w:w="120" w:type="dxa"/>
            </w:tcMar>
            <w:vAlign w:val="center"/>
          </w:tcPr>
          <w:p w14:paraId="6EB36852" w14:textId="77777777" w:rsidR="00813CB8" w:rsidRPr="00312B84" w:rsidRDefault="002B4BED">
            <w:pPr>
              <w:spacing w:after="40"/>
              <w:jc w:val="center"/>
              <w:rPr>
                <w:sz w:val="24"/>
                <w:szCs w:val="24"/>
              </w:rPr>
            </w:pPr>
            <w:r w:rsidRPr="00312B84">
              <w:rPr>
                <w:rFonts w:ascii="Arial" w:eastAsia="Arial" w:hAnsi="Arial" w:cs="Arial"/>
                <w:b/>
                <w:bCs/>
                <w:color w:val="FFFFFF"/>
                <w:sz w:val="20"/>
                <w:szCs w:val="20"/>
              </w:rPr>
              <w:t>% of portfolio FV</w:t>
            </w:r>
          </w:p>
        </w:tc>
        <w:tc>
          <w:tcPr>
            <w:tcW w:w="5531" w:type="dxa"/>
            <w:shd w:val="clear" w:color="auto" w:fill="1F3B5B"/>
            <w:tcMar>
              <w:top w:w="90" w:type="dxa"/>
              <w:left w:w="120" w:type="dxa"/>
              <w:bottom w:w="90" w:type="dxa"/>
              <w:right w:w="120" w:type="dxa"/>
            </w:tcMar>
            <w:vAlign w:val="center"/>
          </w:tcPr>
          <w:p w14:paraId="6EB36853" w14:textId="77777777" w:rsidR="00813CB8" w:rsidRPr="00312B84" w:rsidRDefault="002B4BED">
            <w:pPr>
              <w:spacing w:after="40"/>
              <w:rPr>
                <w:sz w:val="24"/>
                <w:szCs w:val="24"/>
              </w:rPr>
            </w:pPr>
            <w:r w:rsidRPr="00312B84">
              <w:rPr>
                <w:rFonts w:ascii="Arial" w:eastAsia="Arial" w:hAnsi="Arial" w:cs="Arial"/>
                <w:b/>
                <w:bCs/>
                <w:color w:val="FFFFFF"/>
                <w:sz w:val="20"/>
                <w:szCs w:val="20"/>
              </w:rPr>
              <w:t>Representative holdings</w:t>
            </w:r>
          </w:p>
        </w:tc>
      </w:tr>
      <w:tr w:rsidR="00813CB8" w:rsidRPr="00312B84" w14:paraId="6EB36858" w14:textId="77777777">
        <w:trPr>
          <w:cantSplit/>
        </w:trPr>
        <w:tc>
          <w:tcPr>
            <w:tcW w:w="2459" w:type="dxa"/>
            <w:shd w:val="clear" w:color="auto" w:fill="EEF2F6"/>
            <w:tcMar>
              <w:top w:w="90" w:type="dxa"/>
              <w:left w:w="120" w:type="dxa"/>
              <w:bottom w:w="90" w:type="dxa"/>
              <w:right w:w="120" w:type="dxa"/>
            </w:tcMar>
            <w:vAlign w:val="center"/>
          </w:tcPr>
          <w:p w14:paraId="6EB36855" w14:textId="77777777" w:rsidR="00813CB8" w:rsidRPr="00312B84" w:rsidRDefault="002B4BED">
            <w:pPr>
              <w:spacing w:after="40"/>
              <w:rPr>
                <w:sz w:val="24"/>
                <w:szCs w:val="24"/>
              </w:rPr>
            </w:pPr>
            <w:r w:rsidRPr="00312B84">
              <w:rPr>
                <w:rFonts w:ascii="Arial" w:eastAsia="Arial" w:hAnsi="Arial" w:cs="Arial"/>
                <w:color w:val="22303C"/>
                <w:sz w:val="20"/>
                <w:szCs w:val="20"/>
              </w:rPr>
              <w:t>Application</w:t>
            </w:r>
          </w:p>
        </w:tc>
        <w:tc>
          <w:tcPr>
            <w:tcW w:w="2254" w:type="dxa"/>
            <w:tcMar>
              <w:top w:w="90" w:type="dxa"/>
              <w:left w:w="120" w:type="dxa"/>
              <w:bottom w:w="90" w:type="dxa"/>
              <w:right w:w="120" w:type="dxa"/>
            </w:tcMar>
            <w:vAlign w:val="center"/>
          </w:tcPr>
          <w:p w14:paraId="6EB36856"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49.5%</w:t>
            </w:r>
          </w:p>
        </w:tc>
        <w:tc>
          <w:tcPr>
            <w:tcW w:w="5531" w:type="dxa"/>
            <w:tcMar>
              <w:top w:w="90" w:type="dxa"/>
              <w:left w:w="120" w:type="dxa"/>
              <w:bottom w:w="90" w:type="dxa"/>
              <w:right w:w="120" w:type="dxa"/>
            </w:tcMar>
            <w:vAlign w:val="center"/>
          </w:tcPr>
          <w:p w14:paraId="6EB36857" w14:textId="77777777" w:rsidR="00813CB8" w:rsidRPr="00312B84" w:rsidRDefault="002B4BED">
            <w:pPr>
              <w:spacing w:after="40"/>
              <w:rPr>
                <w:sz w:val="24"/>
                <w:szCs w:val="24"/>
              </w:rPr>
            </w:pPr>
            <w:r w:rsidRPr="00312B84">
              <w:rPr>
                <w:rFonts w:ascii="Arial" w:eastAsia="Arial" w:hAnsi="Arial" w:cs="Arial"/>
                <w:color w:val="22303C"/>
                <w:sz w:val="20"/>
                <w:szCs w:val="20"/>
              </w:rPr>
              <w:t>Anaplan, AlphaSense, Acquia</w:t>
            </w:r>
          </w:p>
        </w:tc>
      </w:tr>
      <w:tr w:rsidR="00813CB8" w:rsidRPr="00312B84" w14:paraId="6EB3685C" w14:textId="77777777">
        <w:trPr>
          <w:cantSplit/>
        </w:trPr>
        <w:tc>
          <w:tcPr>
            <w:tcW w:w="2459" w:type="dxa"/>
            <w:shd w:val="clear" w:color="auto" w:fill="EEF2F6"/>
            <w:tcMar>
              <w:top w:w="90" w:type="dxa"/>
              <w:left w:w="120" w:type="dxa"/>
              <w:bottom w:w="90" w:type="dxa"/>
              <w:right w:w="120" w:type="dxa"/>
            </w:tcMar>
            <w:vAlign w:val="center"/>
          </w:tcPr>
          <w:p w14:paraId="6EB36859" w14:textId="77777777" w:rsidR="00813CB8" w:rsidRPr="00312B84" w:rsidRDefault="002B4BED">
            <w:pPr>
              <w:spacing w:after="40"/>
              <w:rPr>
                <w:sz w:val="24"/>
                <w:szCs w:val="24"/>
              </w:rPr>
            </w:pPr>
            <w:r w:rsidRPr="00312B84">
              <w:rPr>
                <w:rFonts w:ascii="Arial" w:eastAsia="Arial" w:hAnsi="Arial" w:cs="Arial"/>
                <w:color w:val="22303C"/>
                <w:sz w:val="20"/>
                <w:szCs w:val="20"/>
              </w:rPr>
              <w:t>Platform</w:t>
            </w:r>
          </w:p>
        </w:tc>
        <w:tc>
          <w:tcPr>
            <w:tcW w:w="2254" w:type="dxa"/>
            <w:tcMar>
              <w:top w:w="90" w:type="dxa"/>
              <w:left w:w="120" w:type="dxa"/>
              <w:bottom w:w="90" w:type="dxa"/>
              <w:right w:w="120" w:type="dxa"/>
            </w:tcMar>
            <w:vAlign w:val="center"/>
          </w:tcPr>
          <w:p w14:paraId="6EB3685A"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11.4%</w:t>
            </w:r>
          </w:p>
        </w:tc>
        <w:tc>
          <w:tcPr>
            <w:tcW w:w="5531" w:type="dxa"/>
            <w:tcMar>
              <w:top w:w="90" w:type="dxa"/>
              <w:left w:w="120" w:type="dxa"/>
              <w:bottom w:w="90" w:type="dxa"/>
              <w:right w:w="120" w:type="dxa"/>
            </w:tcMar>
            <w:vAlign w:val="center"/>
          </w:tcPr>
          <w:p w14:paraId="6EB3685B" w14:textId="77777777" w:rsidR="00813CB8" w:rsidRPr="00312B84" w:rsidRDefault="002B4BED">
            <w:pPr>
              <w:spacing w:after="40"/>
              <w:rPr>
                <w:sz w:val="24"/>
                <w:szCs w:val="24"/>
              </w:rPr>
            </w:pPr>
            <w:r w:rsidRPr="00312B84">
              <w:rPr>
                <w:rFonts w:ascii="Arial" w:eastAsia="Arial" w:hAnsi="Arial" w:cs="Arial"/>
                <w:color w:val="22303C"/>
                <w:sz w:val="20"/>
                <w:szCs w:val="20"/>
              </w:rPr>
              <w:t>Databricks, Boomi, Algolia</w:t>
            </w:r>
          </w:p>
        </w:tc>
      </w:tr>
      <w:tr w:rsidR="00813CB8" w:rsidRPr="00312B84" w14:paraId="6EB36860" w14:textId="77777777">
        <w:trPr>
          <w:cantSplit/>
        </w:trPr>
        <w:tc>
          <w:tcPr>
            <w:tcW w:w="2459" w:type="dxa"/>
            <w:shd w:val="clear" w:color="auto" w:fill="EEF2F6"/>
            <w:tcMar>
              <w:top w:w="90" w:type="dxa"/>
              <w:left w:w="120" w:type="dxa"/>
              <w:bottom w:w="90" w:type="dxa"/>
              <w:right w:w="120" w:type="dxa"/>
            </w:tcMar>
            <w:vAlign w:val="center"/>
          </w:tcPr>
          <w:p w14:paraId="6EB3685D" w14:textId="77777777" w:rsidR="00813CB8" w:rsidRPr="00312B84" w:rsidRDefault="002B4BED">
            <w:pPr>
              <w:spacing w:after="40"/>
              <w:rPr>
                <w:sz w:val="24"/>
                <w:szCs w:val="24"/>
              </w:rPr>
            </w:pPr>
            <w:r w:rsidRPr="00312B84">
              <w:rPr>
                <w:rFonts w:ascii="Arial" w:eastAsia="Arial" w:hAnsi="Arial" w:cs="Arial"/>
                <w:color w:val="22303C"/>
                <w:sz w:val="20"/>
                <w:szCs w:val="20"/>
              </w:rPr>
              <w:t>Infrastructure</w:t>
            </w:r>
          </w:p>
        </w:tc>
        <w:tc>
          <w:tcPr>
            <w:tcW w:w="2254" w:type="dxa"/>
            <w:tcMar>
              <w:top w:w="90" w:type="dxa"/>
              <w:left w:w="120" w:type="dxa"/>
              <w:bottom w:w="90" w:type="dxa"/>
              <w:right w:w="120" w:type="dxa"/>
            </w:tcMar>
            <w:vAlign w:val="center"/>
          </w:tcPr>
          <w:p w14:paraId="6EB3685E"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12.4%</w:t>
            </w:r>
          </w:p>
        </w:tc>
        <w:tc>
          <w:tcPr>
            <w:tcW w:w="5531" w:type="dxa"/>
            <w:tcMar>
              <w:top w:w="90" w:type="dxa"/>
              <w:left w:w="120" w:type="dxa"/>
              <w:bottom w:w="90" w:type="dxa"/>
              <w:right w:w="120" w:type="dxa"/>
            </w:tcMar>
            <w:vAlign w:val="center"/>
          </w:tcPr>
          <w:p w14:paraId="6EB3685F" w14:textId="77777777" w:rsidR="00813CB8" w:rsidRPr="00312B84" w:rsidRDefault="002B4BED">
            <w:pPr>
              <w:spacing w:after="40"/>
              <w:rPr>
                <w:sz w:val="24"/>
                <w:szCs w:val="24"/>
              </w:rPr>
            </w:pPr>
            <w:r w:rsidRPr="00312B84">
              <w:rPr>
                <w:rFonts w:ascii="Arial" w:eastAsia="Arial" w:hAnsi="Arial" w:cs="Arial"/>
                <w:color w:val="22303C"/>
                <w:sz w:val="20"/>
                <w:szCs w:val="20"/>
              </w:rPr>
              <w:t>Arctic Wolf, Barracuda, Proofpoint</w:t>
            </w:r>
          </w:p>
        </w:tc>
      </w:tr>
      <w:tr w:rsidR="00813CB8" w:rsidRPr="00312B84" w14:paraId="6EB36864" w14:textId="77777777">
        <w:trPr>
          <w:cantSplit/>
        </w:trPr>
        <w:tc>
          <w:tcPr>
            <w:tcW w:w="2459" w:type="dxa"/>
            <w:shd w:val="clear" w:color="auto" w:fill="EEF2F6"/>
            <w:tcMar>
              <w:top w:w="90" w:type="dxa"/>
              <w:left w:w="120" w:type="dxa"/>
              <w:bottom w:w="90" w:type="dxa"/>
              <w:right w:w="120" w:type="dxa"/>
            </w:tcMar>
            <w:vAlign w:val="center"/>
          </w:tcPr>
          <w:p w14:paraId="6EB36861" w14:textId="77777777" w:rsidR="00813CB8" w:rsidRPr="00312B84" w:rsidRDefault="002B4BED">
            <w:pPr>
              <w:spacing w:after="40"/>
              <w:rPr>
                <w:sz w:val="24"/>
                <w:szCs w:val="24"/>
              </w:rPr>
            </w:pPr>
            <w:r w:rsidRPr="00312B84">
              <w:rPr>
                <w:rFonts w:ascii="Arial" w:eastAsia="Arial" w:hAnsi="Arial" w:cs="Arial"/>
                <w:color w:val="22303C"/>
                <w:sz w:val="20"/>
                <w:szCs w:val="20"/>
              </w:rPr>
              <w:t>Non-software</w:t>
            </w:r>
          </w:p>
        </w:tc>
        <w:tc>
          <w:tcPr>
            <w:tcW w:w="2254" w:type="dxa"/>
            <w:tcMar>
              <w:top w:w="90" w:type="dxa"/>
              <w:left w:w="120" w:type="dxa"/>
              <w:bottom w:w="90" w:type="dxa"/>
              <w:right w:w="120" w:type="dxa"/>
            </w:tcMar>
            <w:vAlign w:val="center"/>
          </w:tcPr>
          <w:p w14:paraId="6EB36862"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26.8%</w:t>
            </w:r>
          </w:p>
        </w:tc>
        <w:tc>
          <w:tcPr>
            <w:tcW w:w="5531" w:type="dxa"/>
            <w:tcMar>
              <w:top w:w="90" w:type="dxa"/>
              <w:left w:w="120" w:type="dxa"/>
              <w:bottom w:w="90" w:type="dxa"/>
              <w:right w:w="120" w:type="dxa"/>
            </w:tcMar>
            <w:vAlign w:val="center"/>
          </w:tcPr>
          <w:p w14:paraId="6EB36863" w14:textId="77777777" w:rsidR="00813CB8" w:rsidRPr="00312B84" w:rsidRDefault="002B4BED">
            <w:pPr>
              <w:spacing w:after="40"/>
              <w:rPr>
                <w:sz w:val="24"/>
                <w:szCs w:val="24"/>
              </w:rPr>
            </w:pPr>
            <w:r w:rsidRPr="00312B84">
              <w:rPr>
                <w:rFonts w:ascii="Arial" w:eastAsia="Arial" w:hAnsi="Arial" w:cs="Arial"/>
                <w:color w:val="22303C"/>
                <w:sz w:val="20"/>
                <w:szCs w:val="20"/>
              </w:rPr>
              <w:t>—</w:t>
            </w:r>
          </w:p>
        </w:tc>
      </w:tr>
    </w:tbl>
    <w:p w14:paraId="6EB36865" w14:textId="77777777" w:rsidR="00813CB8" w:rsidRPr="00312B84" w:rsidRDefault="002B4BED">
      <w:pPr>
        <w:spacing w:after="200"/>
        <w:ind w:left="200"/>
        <w:rPr>
          <w:sz w:val="24"/>
          <w:szCs w:val="24"/>
        </w:rPr>
      </w:pPr>
      <w:r w:rsidRPr="00312B84">
        <w:rPr>
          <w:rFonts w:ascii="Arial" w:eastAsia="Arial" w:hAnsi="Arial" w:cs="Arial"/>
          <w:i/>
          <w:iCs/>
          <w:color w:val="5A6B7B"/>
          <w:sz w:val="13"/>
          <w:szCs w:val="13"/>
        </w:rPr>
        <w:t>Internal layer mapping of the portfolio per the 202607 draft model Crosscheck sheet, classified position-by-position from the Q1'26 schedule of investments; shares of portfolio fair value. Source: internal draft model; OTF 10-Q schedule of investments</w:t>
      </w:r>
    </w:p>
    <w:p w14:paraId="6EB36866" w14:textId="77777777" w:rsidR="00813CB8" w:rsidRPr="00312B84" w:rsidRDefault="002B4BED">
      <w:pPr>
        <w:spacing w:after="120"/>
        <w:ind w:left="200"/>
        <w:jc w:val="both"/>
        <w:rPr>
          <w:sz w:val="24"/>
          <w:szCs w:val="24"/>
        </w:rPr>
      </w:pPr>
      <w:r w:rsidRPr="00312B84">
        <w:rPr>
          <w:rFonts w:eastAsia="Calibri Light"/>
          <w:color w:val="000000"/>
          <w:sz w:val="24"/>
          <w:szCs w:val="24"/>
        </w:rPr>
        <w:t xml:space="preserve">Application-layer software is by far the largest sleeve at roughly half of portfolio fair value, four times the platform layer. Set against the layer-vulnerability ranking maintained in section 4.3 — applications most at risk, then platforms, then infrastructure — OTF's book is weighted precisely toward the layer under the most AI pressure, which is the structural reason the stock carries a software-concentration risk premium </w:t>
      </w:r>
      <w:r w:rsidRPr="00312B84">
        <w:rPr>
          <w:rFonts w:eastAsia="Calibri Light"/>
          <w:color w:val="000000"/>
          <w:sz w:val="24"/>
          <w:szCs w:val="24"/>
        </w:rPr>
        <w:lastRenderedPageBreak/>
        <w:t>that diversified BDCs do not.</w:t>
      </w:r>
    </w:p>
    <w:p w14:paraId="6EB36867" w14:textId="77777777" w:rsidR="00813CB8" w:rsidRPr="00312B84" w:rsidRDefault="002B4BED">
      <w:pPr>
        <w:pStyle w:val="3"/>
        <w:spacing w:before="200" w:after="100"/>
        <w:ind w:left="110"/>
        <w:rPr>
          <w:sz w:val="21"/>
          <w:szCs w:val="21"/>
        </w:rPr>
      </w:pPr>
      <w:r w:rsidRPr="00312B84">
        <w:rPr>
          <w:rFonts w:eastAsia="Calibri Light"/>
          <w:color w:val="001F5F"/>
          <w:sz w:val="28"/>
          <w:szCs w:val="28"/>
        </w:rPr>
        <w:t>Borrower fundamentals</w:t>
      </w:r>
    </w:p>
    <w:tbl>
      <w:tblPr>
        <w:tblW w:w="10244"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CellMar>
          <w:left w:w="10" w:type="dxa"/>
          <w:right w:w="10" w:type="dxa"/>
        </w:tblCellMar>
        <w:tblLook w:val="04A0" w:firstRow="1" w:lastRow="0" w:firstColumn="1" w:lastColumn="0" w:noHBand="0" w:noVBand="1"/>
      </w:tblPr>
      <w:tblGrid>
        <w:gridCol w:w="4097"/>
        <w:gridCol w:w="1844"/>
        <w:gridCol w:w="1844"/>
        <w:gridCol w:w="2459"/>
      </w:tblGrid>
      <w:tr w:rsidR="00813CB8" w:rsidRPr="00312B84" w14:paraId="6EB3686C" w14:textId="77777777">
        <w:trPr>
          <w:cantSplit/>
          <w:tblHeader/>
        </w:trPr>
        <w:tc>
          <w:tcPr>
            <w:tcW w:w="4097" w:type="dxa"/>
            <w:shd w:val="clear" w:color="auto" w:fill="1F3B5B"/>
            <w:tcMar>
              <w:top w:w="90" w:type="dxa"/>
              <w:left w:w="120" w:type="dxa"/>
              <w:bottom w:w="90" w:type="dxa"/>
              <w:right w:w="120" w:type="dxa"/>
            </w:tcMar>
            <w:vAlign w:val="center"/>
          </w:tcPr>
          <w:p w14:paraId="6EB36868" w14:textId="77777777" w:rsidR="00813CB8" w:rsidRPr="00312B84" w:rsidRDefault="002B4BED">
            <w:pPr>
              <w:spacing w:after="40"/>
              <w:rPr>
                <w:sz w:val="24"/>
                <w:szCs w:val="24"/>
              </w:rPr>
            </w:pPr>
            <w:r w:rsidRPr="00312B84">
              <w:rPr>
                <w:rFonts w:ascii="Arial" w:eastAsia="Arial" w:hAnsi="Arial" w:cs="Arial"/>
                <w:b/>
                <w:bCs/>
                <w:color w:val="FFFFFF"/>
                <w:sz w:val="20"/>
                <w:szCs w:val="20"/>
              </w:rPr>
              <w:t>Metric — first &amp; second lien group</w:t>
            </w:r>
          </w:p>
        </w:tc>
        <w:tc>
          <w:tcPr>
            <w:tcW w:w="1844" w:type="dxa"/>
            <w:shd w:val="clear" w:color="auto" w:fill="1F3B5B"/>
            <w:tcMar>
              <w:top w:w="90" w:type="dxa"/>
              <w:left w:w="120" w:type="dxa"/>
              <w:bottom w:w="90" w:type="dxa"/>
              <w:right w:w="120" w:type="dxa"/>
            </w:tcMar>
            <w:vAlign w:val="center"/>
          </w:tcPr>
          <w:p w14:paraId="6EB36869" w14:textId="77777777" w:rsidR="00813CB8" w:rsidRPr="00312B84" w:rsidRDefault="002B4BED">
            <w:pPr>
              <w:spacing w:after="40"/>
              <w:jc w:val="center"/>
              <w:rPr>
                <w:sz w:val="24"/>
                <w:szCs w:val="24"/>
              </w:rPr>
            </w:pPr>
            <w:r w:rsidRPr="00312B84">
              <w:rPr>
                <w:rFonts w:ascii="Arial" w:eastAsia="Arial" w:hAnsi="Arial" w:cs="Arial"/>
                <w:b/>
                <w:bCs/>
                <w:color w:val="FFFFFF"/>
                <w:sz w:val="20"/>
                <w:szCs w:val="20"/>
              </w:rPr>
              <w:t>Q1'26</w:t>
            </w:r>
          </w:p>
        </w:tc>
        <w:tc>
          <w:tcPr>
            <w:tcW w:w="1844" w:type="dxa"/>
            <w:shd w:val="clear" w:color="auto" w:fill="1F3B5B"/>
            <w:tcMar>
              <w:top w:w="90" w:type="dxa"/>
              <w:left w:w="120" w:type="dxa"/>
              <w:bottom w:w="90" w:type="dxa"/>
              <w:right w:w="120" w:type="dxa"/>
            </w:tcMar>
            <w:vAlign w:val="center"/>
          </w:tcPr>
          <w:p w14:paraId="6EB3686A" w14:textId="77777777" w:rsidR="00813CB8" w:rsidRPr="00312B84" w:rsidRDefault="002B4BED">
            <w:pPr>
              <w:spacing w:after="40"/>
              <w:jc w:val="center"/>
              <w:rPr>
                <w:sz w:val="24"/>
                <w:szCs w:val="24"/>
              </w:rPr>
            </w:pPr>
            <w:r w:rsidRPr="00312B84">
              <w:rPr>
                <w:rFonts w:ascii="Arial" w:eastAsia="Arial" w:hAnsi="Arial" w:cs="Arial"/>
                <w:b/>
                <w:bCs/>
                <w:color w:val="FFFFFF"/>
                <w:sz w:val="20"/>
                <w:szCs w:val="20"/>
              </w:rPr>
              <w:t>Q2'26</w:t>
            </w:r>
          </w:p>
        </w:tc>
        <w:tc>
          <w:tcPr>
            <w:tcW w:w="2459" w:type="dxa"/>
            <w:shd w:val="clear" w:color="auto" w:fill="1F3B5B"/>
            <w:tcMar>
              <w:top w:w="90" w:type="dxa"/>
              <w:left w:w="120" w:type="dxa"/>
              <w:bottom w:w="90" w:type="dxa"/>
              <w:right w:w="120" w:type="dxa"/>
            </w:tcMar>
            <w:vAlign w:val="center"/>
          </w:tcPr>
          <w:p w14:paraId="6EB3686B" w14:textId="77777777" w:rsidR="00813CB8" w:rsidRPr="00312B84" w:rsidRDefault="002B4BED">
            <w:pPr>
              <w:spacing w:after="40"/>
              <w:jc w:val="center"/>
              <w:rPr>
                <w:sz w:val="24"/>
                <w:szCs w:val="24"/>
              </w:rPr>
            </w:pPr>
            <w:r w:rsidRPr="00312B84">
              <w:rPr>
                <w:rFonts w:ascii="Arial" w:eastAsia="Arial" w:hAnsi="Arial" w:cs="Arial"/>
                <w:b/>
                <w:bCs/>
                <w:color w:val="FFFFFF"/>
                <w:sz w:val="20"/>
                <w:szCs w:val="20"/>
              </w:rPr>
              <w:t>QoQ Chg</w:t>
            </w:r>
          </w:p>
        </w:tc>
      </w:tr>
      <w:tr w:rsidR="00813CB8" w:rsidRPr="00312B84" w14:paraId="6EB36871" w14:textId="77777777">
        <w:trPr>
          <w:cantSplit/>
        </w:trPr>
        <w:tc>
          <w:tcPr>
            <w:tcW w:w="4097" w:type="dxa"/>
            <w:shd w:val="clear" w:color="auto" w:fill="EEF2F6"/>
            <w:tcMar>
              <w:top w:w="90" w:type="dxa"/>
              <w:left w:w="120" w:type="dxa"/>
              <w:bottom w:w="90" w:type="dxa"/>
              <w:right w:w="120" w:type="dxa"/>
            </w:tcMar>
            <w:vAlign w:val="center"/>
          </w:tcPr>
          <w:p w14:paraId="6EB3686D" w14:textId="77777777" w:rsidR="00813CB8" w:rsidRPr="00312B84" w:rsidRDefault="002B4BED">
            <w:pPr>
              <w:spacing w:after="40"/>
              <w:rPr>
                <w:sz w:val="24"/>
                <w:szCs w:val="24"/>
              </w:rPr>
            </w:pPr>
            <w:r w:rsidRPr="00312B84">
              <w:rPr>
                <w:rFonts w:ascii="Arial" w:eastAsia="Arial" w:hAnsi="Arial" w:cs="Arial"/>
                <w:color w:val="22303C"/>
                <w:sz w:val="20"/>
                <w:szCs w:val="20"/>
              </w:rPr>
              <w:t>Weighted avg annual revenue</w:t>
            </w:r>
          </w:p>
        </w:tc>
        <w:tc>
          <w:tcPr>
            <w:tcW w:w="1844" w:type="dxa"/>
            <w:tcMar>
              <w:top w:w="90" w:type="dxa"/>
              <w:left w:w="120" w:type="dxa"/>
              <w:bottom w:w="90" w:type="dxa"/>
              <w:right w:w="120" w:type="dxa"/>
            </w:tcMar>
            <w:vAlign w:val="center"/>
          </w:tcPr>
          <w:p w14:paraId="6EB3686E"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$0.9bn</w:t>
            </w:r>
          </w:p>
        </w:tc>
        <w:tc>
          <w:tcPr>
            <w:tcW w:w="1844" w:type="dxa"/>
            <w:tcMar>
              <w:top w:w="90" w:type="dxa"/>
              <w:left w:w="120" w:type="dxa"/>
              <w:bottom w:w="90" w:type="dxa"/>
              <w:right w:w="120" w:type="dxa"/>
            </w:tcMar>
            <w:vAlign w:val="center"/>
          </w:tcPr>
          <w:p w14:paraId="6EB3686F"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$1.0bn</w:t>
            </w:r>
          </w:p>
        </w:tc>
        <w:tc>
          <w:tcPr>
            <w:tcW w:w="2459" w:type="dxa"/>
            <w:tcMar>
              <w:top w:w="90" w:type="dxa"/>
              <w:left w:w="120" w:type="dxa"/>
              <w:bottom w:w="90" w:type="dxa"/>
              <w:right w:w="120" w:type="dxa"/>
            </w:tcMar>
            <w:vAlign w:val="center"/>
          </w:tcPr>
          <w:p w14:paraId="6EB36870"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w:t>
            </w:r>
          </w:p>
        </w:tc>
      </w:tr>
      <w:tr w:rsidR="00813CB8" w:rsidRPr="00312B84" w14:paraId="6EB36876" w14:textId="77777777">
        <w:trPr>
          <w:cantSplit/>
        </w:trPr>
        <w:tc>
          <w:tcPr>
            <w:tcW w:w="4097" w:type="dxa"/>
            <w:shd w:val="clear" w:color="auto" w:fill="EEF2F6"/>
            <w:tcMar>
              <w:top w:w="90" w:type="dxa"/>
              <w:left w:w="120" w:type="dxa"/>
              <w:bottom w:w="90" w:type="dxa"/>
              <w:right w:w="120" w:type="dxa"/>
            </w:tcMar>
            <w:vAlign w:val="center"/>
          </w:tcPr>
          <w:p w14:paraId="6EB36872" w14:textId="77777777" w:rsidR="00813CB8" w:rsidRPr="00312B84" w:rsidRDefault="002B4BED">
            <w:pPr>
              <w:spacing w:after="40"/>
              <w:rPr>
                <w:sz w:val="24"/>
                <w:szCs w:val="24"/>
              </w:rPr>
            </w:pPr>
            <w:r w:rsidRPr="00312B84">
              <w:rPr>
                <w:rFonts w:ascii="Arial" w:eastAsia="Arial" w:hAnsi="Arial" w:cs="Arial"/>
                <w:color w:val="22303C"/>
                <w:sz w:val="20"/>
                <w:szCs w:val="20"/>
              </w:rPr>
              <w:t>Weighted avg annual EBITDA</w:t>
            </w:r>
          </w:p>
        </w:tc>
        <w:tc>
          <w:tcPr>
            <w:tcW w:w="1844" w:type="dxa"/>
            <w:tcMar>
              <w:top w:w="90" w:type="dxa"/>
              <w:left w:w="120" w:type="dxa"/>
              <w:bottom w:w="90" w:type="dxa"/>
              <w:right w:w="120" w:type="dxa"/>
            </w:tcMar>
            <w:vAlign w:val="center"/>
          </w:tcPr>
          <w:p w14:paraId="6EB36873"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$285mm</w:t>
            </w:r>
          </w:p>
        </w:tc>
        <w:tc>
          <w:tcPr>
            <w:tcW w:w="1844" w:type="dxa"/>
            <w:tcMar>
              <w:top w:w="90" w:type="dxa"/>
              <w:left w:w="120" w:type="dxa"/>
              <w:bottom w:w="90" w:type="dxa"/>
              <w:right w:w="120" w:type="dxa"/>
            </w:tcMar>
            <w:vAlign w:val="center"/>
          </w:tcPr>
          <w:p w14:paraId="6EB36874"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$291mm</w:t>
            </w:r>
          </w:p>
        </w:tc>
        <w:tc>
          <w:tcPr>
            <w:tcW w:w="2459" w:type="dxa"/>
            <w:tcMar>
              <w:top w:w="90" w:type="dxa"/>
              <w:left w:w="120" w:type="dxa"/>
              <w:bottom w:w="90" w:type="dxa"/>
              <w:right w:w="120" w:type="dxa"/>
            </w:tcMar>
            <w:vAlign w:val="center"/>
          </w:tcPr>
          <w:p w14:paraId="6EB36875"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+2.1%</w:t>
            </w:r>
          </w:p>
        </w:tc>
      </w:tr>
      <w:tr w:rsidR="00813CB8" w:rsidRPr="00312B84" w14:paraId="6EB3687B" w14:textId="77777777">
        <w:trPr>
          <w:cantSplit/>
        </w:trPr>
        <w:tc>
          <w:tcPr>
            <w:tcW w:w="4097" w:type="dxa"/>
            <w:shd w:val="clear" w:color="auto" w:fill="EEF2F6"/>
            <w:tcMar>
              <w:top w:w="90" w:type="dxa"/>
              <w:left w:w="120" w:type="dxa"/>
              <w:bottom w:w="90" w:type="dxa"/>
              <w:right w:w="120" w:type="dxa"/>
            </w:tcMar>
            <w:vAlign w:val="center"/>
          </w:tcPr>
          <w:p w14:paraId="6EB36877" w14:textId="77777777" w:rsidR="00813CB8" w:rsidRPr="00312B84" w:rsidRDefault="002B4BED">
            <w:pPr>
              <w:spacing w:after="40"/>
              <w:rPr>
                <w:sz w:val="24"/>
                <w:szCs w:val="24"/>
              </w:rPr>
            </w:pPr>
            <w:r w:rsidRPr="00312B84">
              <w:rPr>
                <w:rFonts w:ascii="Arial" w:eastAsia="Arial" w:hAnsi="Arial" w:cs="Arial"/>
                <w:color w:val="22303C"/>
                <w:sz w:val="20"/>
                <w:szCs w:val="20"/>
              </w:rPr>
              <w:t>Weighted avg enterprise value</w:t>
            </w:r>
          </w:p>
        </w:tc>
        <w:tc>
          <w:tcPr>
            <w:tcW w:w="1844" w:type="dxa"/>
            <w:tcMar>
              <w:top w:w="90" w:type="dxa"/>
              <w:left w:w="120" w:type="dxa"/>
              <w:bottom w:w="90" w:type="dxa"/>
              <w:right w:w="120" w:type="dxa"/>
            </w:tcMar>
            <w:vAlign w:val="center"/>
          </w:tcPr>
          <w:p w14:paraId="6EB36878"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$5.5bn</w:t>
            </w:r>
          </w:p>
        </w:tc>
        <w:tc>
          <w:tcPr>
            <w:tcW w:w="1844" w:type="dxa"/>
            <w:tcMar>
              <w:top w:w="90" w:type="dxa"/>
              <w:left w:w="120" w:type="dxa"/>
              <w:bottom w:w="90" w:type="dxa"/>
              <w:right w:w="120" w:type="dxa"/>
            </w:tcMar>
            <w:vAlign w:val="center"/>
          </w:tcPr>
          <w:p w14:paraId="6EB36879"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$5.7bn</w:t>
            </w:r>
          </w:p>
        </w:tc>
        <w:tc>
          <w:tcPr>
            <w:tcW w:w="2459" w:type="dxa"/>
            <w:tcMar>
              <w:top w:w="90" w:type="dxa"/>
              <w:left w:w="120" w:type="dxa"/>
              <w:bottom w:w="90" w:type="dxa"/>
              <w:right w:w="120" w:type="dxa"/>
            </w:tcMar>
            <w:vAlign w:val="center"/>
          </w:tcPr>
          <w:p w14:paraId="6EB3687A"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w:t>
            </w:r>
          </w:p>
        </w:tc>
      </w:tr>
      <w:tr w:rsidR="00813CB8" w:rsidRPr="00312B84" w14:paraId="6EB36880" w14:textId="77777777">
        <w:trPr>
          <w:cantSplit/>
        </w:trPr>
        <w:tc>
          <w:tcPr>
            <w:tcW w:w="4097" w:type="dxa"/>
            <w:shd w:val="clear" w:color="auto" w:fill="EEF2F6"/>
            <w:tcMar>
              <w:top w:w="90" w:type="dxa"/>
              <w:left w:w="120" w:type="dxa"/>
              <w:bottom w:w="90" w:type="dxa"/>
              <w:right w:w="120" w:type="dxa"/>
            </w:tcMar>
            <w:vAlign w:val="center"/>
          </w:tcPr>
          <w:p w14:paraId="6EB3687C" w14:textId="77777777" w:rsidR="00813CB8" w:rsidRPr="00312B84" w:rsidRDefault="002B4BED">
            <w:pPr>
              <w:spacing w:after="40"/>
              <w:rPr>
                <w:sz w:val="24"/>
                <w:szCs w:val="24"/>
              </w:rPr>
            </w:pPr>
            <w:r w:rsidRPr="00312B84">
              <w:rPr>
                <w:rFonts w:ascii="Arial" w:eastAsia="Arial" w:hAnsi="Arial" w:cs="Arial"/>
                <w:color w:val="22303C"/>
                <w:sz w:val="20"/>
                <w:szCs w:val="20"/>
              </w:rPr>
              <w:t>Weighted avg net LTV</w:t>
            </w:r>
          </w:p>
        </w:tc>
        <w:tc>
          <w:tcPr>
            <w:tcW w:w="1844" w:type="dxa"/>
            <w:tcMar>
              <w:top w:w="90" w:type="dxa"/>
              <w:left w:w="120" w:type="dxa"/>
              <w:bottom w:w="90" w:type="dxa"/>
              <w:right w:w="120" w:type="dxa"/>
            </w:tcMar>
            <w:vAlign w:val="center"/>
          </w:tcPr>
          <w:p w14:paraId="6EB3687D"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40%</w:t>
            </w:r>
          </w:p>
        </w:tc>
        <w:tc>
          <w:tcPr>
            <w:tcW w:w="1844" w:type="dxa"/>
            <w:tcMar>
              <w:top w:w="90" w:type="dxa"/>
              <w:left w:w="120" w:type="dxa"/>
              <w:bottom w:w="90" w:type="dxa"/>
              <w:right w:w="120" w:type="dxa"/>
            </w:tcMar>
            <w:vAlign w:val="center"/>
          </w:tcPr>
          <w:p w14:paraId="6EB3687E"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40%</w:t>
            </w:r>
          </w:p>
        </w:tc>
        <w:tc>
          <w:tcPr>
            <w:tcW w:w="2459" w:type="dxa"/>
            <w:tcMar>
              <w:top w:w="90" w:type="dxa"/>
              <w:left w:w="120" w:type="dxa"/>
              <w:bottom w:w="90" w:type="dxa"/>
              <w:right w:w="120" w:type="dxa"/>
            </w:tcMar>
            <w:vAlign w:val="center"/>
          </w:tcPr>
          <w:p w14:paraId="6EB3687F"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flat</w:t>
            </w:r>
          </w:p>
        </w:tc>
      </w:tr>
      <w:tr w:rsidR="00813CB8" w:rsidRPr="00312B84" w14:paraId="6EB36885" w14:textId="77777777">
        <w:trPr>
          <w:cantSplit/>
        </w:trPr>
        <w:tc>
          <w:tcPr>
            <w:tcW w:w="4097" w:type="dxa"/>
            <w:shd w:val="clear" w:color="auto" w:fill="EEF2F6"/>
            <w:tcMar>
              <w:top w:w="90" w:type="dxa"/>
              <w:left w:w="120" w:type="dxa"/>
              <w:bottom w:w="90" w:type="dxa"/>
              <w:right w:w="120" w:type="dxa"/>
            </w:tcMar>
            <w:vAlign w:val="center"/>
          </w:tcPr>
          <w:p w14:paraId="6EB36881" w14:textId="77777777" w:rsidR="00813CB8" w:rsidRPr="00312B84" w:rsidRDefault="002B4BED">
            <w:pPr>
              <w:spacing w:after="40"/>
              <w:rPr>
                <w:sz w:val="24"/>
                <w:szCs w:val="24"/>
              </w:rPr>
            </w:pPr>
            <w:r w:rsidRPr="00312B84">
              <w:rPr>
                <w:rFonts w:ascii="Arial" w:eastAsia="Arial" w:hAnsi="Arial" w:cs="Arial"/>
                <w:color w:val="22303C"/>
                <w:sz w:val="20"/>
                <w:szCs w:val="20"/>
              </w:rPr>
              <w:t>Average position size (whole portfolio)</w:t>
            </w:r>
          </w:p>
        </w:tc>
        <w:tc>
          <w:tcPr>
            <w:tcW w:w="1844" w:type="dxa"/>
            <w:tcMar>
              <w:top w:w="90" w:type="dxa"/>
              <w:left w:w="120" w:type="dxa"/>
              <w:bottom w:w="90" w:type="dxa"/>
              <w:right w:w="120" w:type="dxa"/>
            </w:tcMar>
            <w:vAlign w:val="center"/>
          </w:tcPr>
          <w:p w14:paraId="6EB36882"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$69mm</w:t>
            </w:r>
          </w:p>
        </w:tc>
        <w:tc>
          <w:tcPr>
            <w:tcW w:w="1844" w:type="dxa"/>
            <w:tcMar>
              <w:top w:w="90" w:type="dxa"/>
              <w:left w:w="120" w:type="dxa"/>
              <w:bottom w:w="90" w:type="dxa"/>
              <w:right w:w="120" w:type="dxa"/>
            </w:tcMar>
            <w:vAlign w:val="center"/>
          </w:tcPr>
          <w:p w14:paraId="6EB36883"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$72mm</w:t>
            </w:r>
          </w:p>
        </w:tc>
        <w:tc>
          <w:tcPr>
            <w:tcW w:w="2459" w:type="dxa"/>
            <w:tcMar>
              <w:top w:w="90" w:type="dxa"/>
              <w:left w:w="120" w:type="dxa"/>
              <w:bottom w:w="90" w:type="dxa"/>
              <w:right w:w="120" w:type="dxa"/>
            </w:tcMar>
            <w:vAlign w:val="center"/>
          </w:tcPr>
          <w:p w14:paraId="6EB36884"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w:t>
            </w:r>
          </w:p>
        </w:tc>
      </w:tr>
      <w:tr w:rsidR="00813CB8" w:rsidRPr="00312B84" w14:paraId="6EB3688A" w14:textId="77777777">
        <w:trPr>
          <w:cantSplit/>
        </w:trPr>
        <w:tc>
          <w:tcPr>
            <w:tcW w:w="4097" w:type="dxa"/>
            <w:shd w:val="clear" w:color="auto" w:fill="EEF2F6"/>
            <w:tcMar>
              <w:top w:w="90" w:type="dxa"/>
              <w:left w:w="120" w:type="dxa"/>
              <w:bottom w:w="90" w:type="dxa"/>
              <w:right w:w="120" w:type="dxa"/>
            </w:tcMar>
            <w:vAlign w:val="center"/>
          </w:tcPr>
          <w:p w14:paraId="6EB36886" w14:textId="77777777" w:rsidR="00813CB8" w:rsidRPr="00312B84" w:rsidRDefault="002B4BED">
            <w:pPr>
              <w:spacing w:after="40"/>
              <w:rPr>
                <w:sz w:val="24"/>
                <w:szCs w:val="24"/>
              </w:rPr>
            </w:pPr>
            <w:r w:rsidRPr="00312B84">
              <w:rPr>
                <w:rFonts w:ascii="Arial" w:eastAsia="Arial" w:hAnsi="Arial" w:cs="Arial"/>
                <w:color w:val="22303C"/>
                <w:sz w:val="20"/>
                <w:szCs w:val="20"/>
              </w:rPr>
              <w:t>Portfolio companies</w:t>
            </w:r>
          </w:p>
        </w:tc>
        <w:tc>
          <w:tcPr>
            <w:tcW w:w="1844" w:type="dxa"/>
            <w:tcMar>
              <w:top w:w="90" w:type="dxa"/>
              <w:left w:w="120" w:type="dxa"/>
              <w:bottom w:w="90" w:type="dxa"/>
              <w:right w:w="120" w:type="dxa"/>
            </w:tcMar>
            <w:vAlign w:val="center"/>
          </w:tcPr>
          <w:p w14:paraId="6EB36887"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203</w:t>
            </w:r>
          </w:p>
        </w:tc>
        <w:tc>
          <w:tcPr>
            <w:tcW w:w="1844" w:type="dxa"/>
            <w:tcMar>
              <w:top w:w="90" w:type="dxa"/>
              <w:left w:w="120" w:type="dxa"/>
              <w:bottom w:w="90" w:type="dxa"/>
              <w:right w:w="120" w:type="dxa"/>
            </w:tcMar>
            <w:vAlign w:val="center"/>
          </w:tcPr>
          <w:p w14:paraId="6EB36888"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205</w:t>
            </w:r>
          </w:p>
        </w:tc>
        <w:tc>
          <w:tcPr>
            <w:tcW w:w="2459" w:type="dxa"/>
            <w:tcMar>
              <w:top w:w="90" w:type="dxa"/>
              <w:left w:w="120" w:type="dxa"/>
              <w:bottom w:w="90" w:type="dxa"/>
              <w:right w:w="120" w:type="dxa"/>
            </w:tcMar>
            <w:vAlign w:val="center"/>
          </w:tcPr>
          <w:p w14:paraId="6EB36889"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+2</w:t>
            </w:r>
          </w:p>
        </w:tc>
      </w:tr>
    </w:tbl>
    <w:p w14:paraId="6EB3688B" w14:textId="77777777" w:rsidR="00813CB8" w:rsidRPr="00312B84" w:rsidRDefault="002B4BED">
      <w:pPr>
        <w:spacing w:after="200"/>
        <w:ind w:left="200"/>
        <w:rPr>
          <w:sz w:val="24"/>
          <w:szCs w:val="24"/>
        </w:rPr>
      </w:pPr>
      <w:r w:rsidRPr="00312B84">
        <w:rPr>
          <w:rFonts w:ascii="Arial" w:eastAsia="Arial" w:hAnsi="Arial" w:cs="Arial"/>
          <w:i/>
          <w:iCs/>
          <w:color w:val="5A6B7B"/>
          <w:sz w:val="13"/>
          <w:szCs w:val="13"/>
        </w:rPr>
        <w:t>Lien-group statistics cover first- and second-lien borrowers, 74.5% of portfolio fair value at Q2'26. Net LTV valuation basis per the 10-Q and earnings deck: the net ratio of loan to value for each portfolio company weighted by the fair value of OTF's loan; the attachment point is the principal senior to OTF's loan, that amount plus OTF's loan and equally ranked debt is the last-dollar amount, and value is an estimate of each company's enterprise value, a calculation that varies by portfolio company. Source: OTF Q2'26 Earnings Presentation slide 7; 10-Q MD&amp;A</w:t>
      </w:r>
    </w:p>
    <w:p w14:paraId="6EB3688C" w14:textId="77777777" w:rsidR="00813CB8" w:rsidRPr="00312B84" w:rsidRDefault="002B4BED">
      <w:pPr>
        <w:spacing w:after="120"/>
        <w:ind w:left="200"/>
        <w:jc w:val="both"/>
        <w:rPr>
          <w:sz w:val="24"/>
          <w:szCs w:val="24"/>
        </w:rPr>
      </w:pPr>
      <w:r w:rsidRPr="00312B84">
        <w:rPr>
          <w:rFonts w:eastAsia="Calibri Light"/>
          <w:color w:val="000000"/>
          <w:sz w:val="24"/>
          <w:szCs w:val="24"/>
        </w:rPr>
        <w:t>The only move of note is weighted-average borrower EBITDA at $291mm, up 2.1% QoQ and up 15.9% from $251mm at Q1'25 — underlying borrower earnings are still growing, which is the single most direct rebuttal available in OTF's own disclosure to the thesis that AI erosion is already visible in its book.</w:t>
      </w:r>
    </w:p>
    <w:p w14:paraId="6EB3688D" w14:textId="77777777" w:rsidR="00813CB8" w:rsidRPr="00312B84" w:rsidRDefault="002B4BED">
      <w:pPr>
        <w:pStyle w:val="2"/>
        <w:spacing w:before="560" w:after="140"/>
        <w:rPr>
          <w:sz w:val="22"/>
          <w:szCs w:val="22"/>
        </w:rPr>
      </w:pPr>
      <w:r w:rsidRPr="00312B84">
        <w:rPr>
          <w:rFonts w:eastAsia="Calibri Light"/>
          <w:color w:val="001F5F"/>
          <w:sz w:val="40"/>
          <w:szCs w:val="40"/>
        </w:rPr>
        <w:t>2.2 Financial &amp; debt</w:t>
      </w:r>
    </w:p>
    <w:p w14:paraId="6EB3688E" w14:textId="77777777" w:rsidR="00813CB8" w:rsidRPr="00312B84" w:rsidRDefault="002B4BED">
      <w:pPr>
        <w:pStyle w:val="3"/>
        <w:spacing w:before="200" w:after="100"/>
        <w:ind w:left="110"/>
        <w:rPr>
          <w:sz w:val="21"/>
          <w:szCs w:val="21"/>
        </w:rPr>
      </w:pPr>
      <w:r w:rsidRPr="00312B84">
        <w:rPr>
          <w:rFonts w:eastAsia="Calibri Light"/>
          <w:color w:val="001F5F"/>
          <w:sz w:val="28"/>
          <w:szCs w:val="28"/>
        </w:rPr>
        <w:t>Cash yield trend</w:t>
      </w:r>
    </w:p>
    <w:p w14:paraId="6EB3688F" w14:textId="77777777" w:rsidR="00813CB8" w:rsidRPr="00312B84" w:rsidRDefault="002B4BED">
      <w:pPr>
        <w:spacing w:before="120" w:after="160"/>
        <w:jc w:val="center"/>
        <w:rPr>
          <w:sz w:val="24"/>
          <w:szCs w:val="24"/>
        </w:rPr>
      </w:pPr>
      <w:r w:rsidRPr="00312B84">
        <w:rPr>
          <w:noProof/>
          <w:sz w:val="24"/>
          <w:szCs w:val="24"/>
        </w:rPr>
        <w:drawing>
          <wp:inline distT="0" distB="0" distL="0" distR="0" wp14:anchorId="6EB36A99" wp14:editId="6EB36A9A">
            <wp:extent cx="6503669" cy="3731822"/>
            <wp:effectExtent l="0" t="0" r="0" b="0"/>
            <wp:docPr id="456795166" name="图片 45679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503669" cy="3731822"/>
                    </a:xfrm>
                    <a:prstGeom prst="rect">
                      <a:avLst/>
                    </a:prstGeom>
                  </pic:spPr>
                </pic:pic>
              </a:graphicData>
            </a:graphic>
          </wp:inline>
        </w:drawing>
      </w:r>
    </w:p>
    <w:p w14:paraId="6EB36890" w14:textId="77777777" w:rsidR="00813CB8" w:rsidRPr="00312B84" w:rsidRDefault="002B4BED">
      <w:pPr>
        <w:spacing w:after="120"/>
        <w:ind w:left="200"/>
        <w:jc w:val="both"/>
        <w:rPr>
          <w:sz w:val="24"/>
          <w:szCs w:val="24"/>
        </w:rPr>
      </w:pPr>
      <w:r w:rsidRPr="00312B84">
        <w:rPr>
          <w:rFonts w:eastAsia="Calibri Light"/>
          <w:color w:val="000000"/>
          <w:sz w:val="24"/>
          <w:szCs w:val="24"/>
        </w:rPr>
        <w:t xml:space="preserve">Asset yields stabilized after four quarters of compression: the weighted-average yield on accruing debt and income-producing securities was 9.6% at fair value, up 10bp QoQ, and the total portfolio yield 8.9%, up 10bp. The decomposition assigns none of it to the base rate — 3M SOFR was unchanged at 3.7% and the weighted-average spread of floating-rate debt was likewise flat at 5.3% — so the uplift is mix rather </w:t>
      </w:r>
      <w:r w:rsidRPr="00312B84">
        <w:rPr>
          <w:rFonts w:eastAsia="Calibri Light"/>
          <w:color w:val="000000"/>
          <w:sz w:val="24"/>
          <w:szCs w:val="24"/>
        </w:rPr>
        <w:lastRenderedPageBreak/>
        <w:t>than repricing, while the average stated interest rate on debt outstanding held at 5.7%, leaving the net interest margin roughly 390bp.</w:t>
      </w:r>
    </w:p>
    <w:p w14:paraId="6EB36891" w14:textId="77777777" w:rsidR="00813CB8" w:rsidRPr="00312B84" w:rsidRDefault="002B4BED">
      <w:pPr>
        <w:pStyle w:val="3"/>
        <w:spacing w:before="200" w:after="100"/>
        <w:ind w:left="110"/>
        <w:rPr>
          <w:sz w:val="21"/>
          <w:szCs w:val="21"/>
        </w:rPr>
      </w:pPr>
      <w:r w:rsidRPr="00312B84">
        <w:rPr>
          <w:rFonts w:eastAsia="Calibri Light"/>
          <w:color w:val="001F5F"/>
          <w:sz w:val="28"/>
          <w:szCs w:val="28"/>
        </w:rPr>
        <w:t>NAV bridge</w:t>
      </w:r>
    </w:p>
    <w:p w14:paraId="6EB36892" w14:textId="77777777" w:rsidR="00813CB8" w:rsidRPr="00312B84" w:rsidRDefault="002B4BED">
      <w:pPr>
        <w:spacing w:before="120" w:after="160"/>
        <w:jc w:val="center"/>
        <w:rPr>
          <w:sz w:val="24"/>
          <w:szCs w:val="24"/>
        </w:rPr>
      </w:pPr>
      <w:r w:rsidRPr="00312B84">
        <w:rPr>
          <w:noProof/>
          <w:sz w:val="24"/>
          <w:szCs w:val="24"/>
        </w:rPr>
        <w:drawing>
          <wp:inline distT="0" distB="0" distL="0" distR="0" wp14:anchorId="6EB36A9B" wp14:editId="6EB36A9C">
            <wp:extent cx="6503669" cy="3293158"/>
            <wp:effectExtent l="0" t="0" r="0" b="0"/>
            <wp:docPr id="1918758869" name="图片 1918758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503669" cy="3293158"/>
                    </a:xfrm>
                    <a:prstGeom prst="rect">
                      <a:avLst/>
                    </a:prstGeom>
                  </pic:spPr>
                </pic:pic>
              </a:graphicData>
            </a:graphic>
          </wp:inline>
        </w:drawing>
      </w:r>
    </w:p>
    <w:p w14:paraId="6EB36893" w14:textId="77777777" w:rsidR="00813CB8" w:rsidRPr="00312B84" w:rsidRDefault="002B4BED">
      <w:pPr>
        <w:spacing w:after="120"/>
        <w:ind w:left="200"/>
        <w:jc w:val="both"/>
        <w:rPr>
          <w:sz w:val="24"/>
          <w:szCs w:val="24"/>
        </w:rPr>
      </w:pPr>
      <w:r w:rsidRPr="00312B84">
        <w:rPr>
          <w:rFonts w:eastAsia="Calibri Light"/>
          <w:color w:val="000000"/>
          <w:sz w:val="24"/>
          <w:szCs w:val="24"/>
        </w:rPr>
        <w:t>NAV was effectively flat at $16.48, down one cent. Unlike Q1'26 — when an $0.84 unrealized spread-mark drag drove NAV down 4.9% — this quarter's realized and unrealized result was positive at +$0.03, and the $0.10 gap between NII of $0.30 and the $0.40 distribution was nearly closed by $0.05 of buyback accretion. The reversal in the mark line is consistent with spread stabilization rather than credit improvement, and it leaves the recovery option on last quarter's marks intact: the Q1 write-down was priced off public credit spreads, and a further retracement would flow back through this same line.</w:t>
      </w:r>
    </w:p>
    <w:p w14:paraId="6EB36894" w14:textId="77777777" w:rsidR="00813CB8" w:rsidRPr="00312B84" w:rsidRDefault="002B4BED">
      <w:pPr>
        <w:pStyle w:val="3"/>
        <w:spacing w:before="200" w:after="100"/>
        <w:ind w:left="110"/>
        <w:rPr>
          <w:sz w:val="21"/>
          <w:szCs w:val="21"/>
        </w:rPr>
      </w:pPr>
      <w:r w:rsidRPr="00312B84">
        <w:rPr>
          <w:rFonts w:eastAsia="Calibri Light"/>
          <w:color w:val="001F5F"/>
          <w:sz w:val="28"/>
          <w:szCs w:val="28"/>
        </w:rPr>
        <w:t>NII &amp; dividend coverage</w:t>
      </w:r>
    </w:p>
    <w:p w14:paraId="6EB36895" w14:textId="77777777" w:rsidR="00813CB8" w:rsidRPr="00312B84" w:rsidRDefault="002B4BED">
      <w:pPr>
        <w:spacing w:before="120" w:after="160"/>
        <w:jc w:val="center"/>
        <w:rPr>
          <w:sz w:val="24"/>
          <w:szCs w:val="24"/>
        </w:rPr>
      </w:pPr>
      <w:r w:rsidRPr="00312B84">
        <w:rPr>
          <w:noProof/>
          <w:sz w:val="24"/>
          <w:szCs w:val="24"/>
        </w:rPr>
        <w:drawing>
          <wp:inline distT="0" distB="0" distL="0" distR="0" wp14:anchorId="6EB36A9D" wp14:editId="6EB36A9E">
            <wp:extent cx="6503669" cy="3445736"/>
            <wp:effectExtent l="0" t="0" r="0" b="0"/>
            <wp:docPr id="1313806462" name="图片 131380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503669" cy="3445736"/>
                    </a:xfrm>
                    <a:prstGeom prst="rect">
                      <a:avLst/>
                    </a:prstGeom>
                  </pic:spPr>
                </pic:pic>
              </a:graphicData>
            </a:graphic>
          </wp:inline>
        </w:drawing>
      </w:r>
    </w:p>
    <w:p w14:paraId="6EB36896" w14:textId="77777777" w:rsidR="00813CB8" w:rsidRPr="00312B84" w:rsidRDefault="002B4BED">
      <w:pPr>
        <w:spacing w:after="120"/>
        <w:ind w:left="200"/>
        <w:jc w:val="both"/>
        <w:rPr>
          <w:sz w:val="24"/>
          <w:szCs w:val="24"/>
        </w:rPr>
      </w:pPr>
      <w:r w:rsidRPr="00312B84">
        <w:rPr>
          <w:rFonts w:eastAsia="Calibri Light"/>
          <w:color w:val="000000"/>
          <w:sz w:val="24"/>
          <w:szCs w:val="24"/>
        </w:rPr>
        <w:t xml:space="preserve">GAAP NII of $0.30 covered 75% of the $0.40 total distribution, down from 93% in Q1'26 on the reversal </w:t>
      </w:r>
      <w:r w:rsidRPr="00312B84">
        <w:rPr>
          <w:rFonts w:eastAsia="Calibri Light"/>
          <w:color w:val="000000"/>
          <w:sz w:val="24"/>
          <w:szCs w:val="24"/>
        </w:rPr>
        <w:lastRenderedPageBreak/>
        <w:t>of the one-off capital-gains incentive-fee benefit; against the $0.35 base dividend alone, coverage was 86%. Income quality moved the right way — the PIK share of investment income declined for a second quarter, as shown in section 2.3, and cash interest remains the dominant revenue line — but the base dividend is not yet fully cash-earned, which keeps the payout dependent on the leverage build discussed below.</w:t>
      </w:r>
    </w:p>
    <w:p w14:paraId="6EB36897" w14:textId="77777777" w:rsidR="00813CB8" w:rsidRPr="00312B84" w:rsidRDefault="002B4BED">
      <w:pPr>
        <w:pStyle w:val="3"/>
        <w:spacing w:before="200" w:after="100"/>
        <w:ind w:left="110"/>
        <w:rPr>
          <w:sz w:val="21"/>
          <w:szCs w:val="21"/>
        </w:rPr>
      </w:pPr>
      <w:r w:rsidRPr="00312B84">
        <w:rPr>
          <w:rFonts w:eastAsia="Calibri Light"/>
          <w:color w:val="001F5F"/>
          <w:sz w:val="28"/>
          <w:szCs w:val="28"/>
        </w:rPr>
        <w:t>Financing profile</w:t>
      </w:r>
    </w:p>
    <w:tbl>
      <w:tblPr>
        <w:tblW w:w="10244"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CellMar>
          <w:left w:w="10" w:type="dxa"/>
          <w:right w:w="10" w:type="dxa"/>
        </w:tblCellMar>
        <w:tblLook w:val="04A0" w:firstRow="1" w:lastRow="0" w:firstColumn="1" w:lastColumn="0" w:noHBand="0" w:noVBand="1"/>
      </w:tblPr>
      <w:tblGrid>
        <w:gridCol w:w="2868"/>
        <w:gridCol w:w="1844"/>
        <w:gridCol w:w="1895"/>
        <w:gridCol w:w="1895"/>
        <w:gridCol w:w="1742"/>
      </w:tblGrid>
      <w:tr w:rsidR="00813CB8" w:rsidRPr="00312B84" w14:paraId="6EB3689D" w14:textId="77777777">
        <w:trPr>
          <w:cantSplit/>
          <w:tblHeader/>
        </w:trPr>
        <w:tc>
          <w:tcPr>
            <w:tcW w:w="2868" w:type="dxa"/>
            <w:shd w:val="clear" w:color="auto" w:fill="1F3B5B"/>
            <w:tcMar>
              <w:top w:w="90" w:type="dxa"/>
              <w:left w:w="120" w:type="dxa"/>
              <w:bottom w:w="90" w:type="dxa"/>
              <w:right w:w="120" w:type="dxa"/>
            </w:tcMar>
            <w:vAlign w:val="center"/>
          </w:tcPr>
          <w:p w14:paraId="6EB36898" w14:textId="77777777" w:rsidR="00813CB8" w:rsidRPr="00312B84" w:rsidRDefault="002B4BED">
            <w:pPr>
              <w:spacing w:after="40"/>
              <w:rPr>
                <w:sz w:val="24"/>
                <w:szCs w:val="24"/>
              </w:rPr>
            </w:pPr>
            <w:r w:rsidRPr="00312B84">
              <w:rPr>
                <w:rFonts w:ascii="Arial" w:eastAsia="Arial" w:hAnsi="Arial" w:cs="Arial"/>
                <w:b/>
                <w:bCs/>
                <w:color w:val="FFFFFF"/>
                <w:sz w:val="18"/>
                <w:szCs w:val="18"/>
              </w:rPr>
              <w:t>Facility / notes</w:t>
            </w:r>
          </w:p>
        </w:tc>
        <w:tc>
          <w:tcPr>
            <w:tcW w:w="1844" w:type="dxa"/>
            <w:shd w:val="clear" w:color="auto" w:fill="1F3B5B"/>
            <w:tcMar>
              <w:top w:w="90" w:type="dxa"/>
              <w:left w:w="120" w:type="dxa"/>
              <w:bottom w:w="90" w:type="dxa"/>
              <w:right w:w="120" w:type="dxa"/>
            </w:tcMar>
            <w:vAlign w:val="center"/>
          </w:tcPr>
          <w:p w14:paraId="6EB36899" w14:textId="77777777" w:rsidR="00813CB8" w:rsidRPr="00312B84" w:rsidRDefault="002B4BED">
            <w:pPr>
              <w:spacing w:after="40"/>
              <w:jc w:val="center"/>
              <w:rPr>
                <w:sz w:val="24"/>
                <w:szCs w:val="24"/>
              </w:rPr>
            </w:pPr>
            <w:r w:rsidRPr="00312B84">
              <w:rPr>
                <w:rFonts w:ascii="Arial" w:eastAsia="Arial" w:hAnsi="Arial" w:cs="Arial"/>
                <w:b/>
                <w:bCs/>
                <w:color w:val="FFFFFF"/>
                <w:sz w:val="18"/>
                <w:szCs w:val="18"/>
              </w:rPr>
              <w:t>Committed</w:t>
            </w:r>
          </w:p>
        </w:tc>
        <w:tc>
          <w:tcPr>
            <w:tcW w:w="1895" w:type="dxa"/>
            <w:shd w:val="clear" w:color="auto" w:fill="1F3B5B"/>
            <w:tcMar>
              <w:top w:w="90" w:type="dxa"/>
              <w:left w:w="120" w:type="dxa"/>
              <w:bottom w:w="90" w:type="dxa"/>
              <w:right w:w="120" w:type="dxa"/>
            </w:tcMar>
            <w:vAlign w:val="center"/>
          </w:tcPr>
          <w:p w14:paraId="6EB3689A" w14:textId="77777777" w:rsidR="00813CB8" w:rsidRPr="00312B84" w:rsidRDefault="002B4BED">
            <w:pPr>
              <w:spacing w:after="40"/>
              <w:jc w:val="center"/>
              <w:rPr>
                <w:sz w:val="24"/>
                <w:szCs w:val="24"/>
              </w:rPr>
            </w:pPr>
            <w:r w:rsidRPr="00312B84">
              <w:rPr>
                <w:rFonts w:ascii="Arial" w:eastAsia="Arial" w:hAnsi="Arial" w:cs="Arial"/>
                <w:b/>
                <w:bCs/>
                <w:color w:val="FFFFFF"/>
                <w:sz w:val="18"/>
                <w:szCs w:val="18"/>
              </w:rPr>
              <w:t>Q1'26 drawn</w:t>
            </w:r>
          </w:p>
        </w:tc>
        <w:tc>
          <w:tcPr>
            <w:tcW w:w="1895" w:type="dxa"/>
            <w:shd w:val="clear" w:color="auto" w:fill="1F3B5B"/>
            <w:tcMar>
              <w:top w:w="90" w:type="dxa"/>
              <w:left w:w="120" w:type="dxa"/>
              <w:bottom w:w="90" w:type="dxa"/>
              <w:right w:w="120" w:type="dxa"/>
            </w:tcMar>
            <w:vAlign w:val="center"/>
          </w:tcPr>
          <w:p w14:paraId="6EB3689B" w14:textId="77777777" w:rsidR="00813CB8" w:rsidRPr="00312B84" w:rsidRDefault="002B4BED">
            <w:pPr>
              <w:spacing w:after="40"/>
              <w:jc w:val="center"/>
              <w:rPr>
                <w:sz w:val="24"/>
                <w:szCs w:val="24"/>
              </w:rPr>
            </w:pPr>
            <w:r w:rsidRPr="00312B84">
              <w:rPr>
                <w:rFonts w:ascii="Arial" w:eastAsia="Arial" w:hAnsi="Arial" w:cs="Arial"/>
                <w:b/>
                <w:bCs/>
                <w:color w:val="FFFFFF"/>
                <w:sz w:val="18"/>
                <w:szCs w:val="18"/>
              </w:rPr>
              <w:t>Q2'26 drawn</w:t>
            </w:r>
          </w:p>
        </w:tc>
        <w:tc>
          <w:tcPr>
            <w:tcW w:w="1742" w:type="dxa"/>
            <w:shd w:val="clear" w:color="auto" w:fill="1F3B5B"/>
            <w:tcMar>
              <w:top w:w="90" w:type="dxa"/>
              <w:left w:w="120" w:type="dxa"/>
              <w:bottom w:w="90" w:type="dxa"/>
              <w:right w:w="120" w:type="dxa"/>
            </w:tcMar>
            <w:vAlign w:val="center"/>
          </w:tcPr>
          <w:p w14:paraId="6EB3689C" w14:textId="77777777" w:rsidR="00813CB8" w:rsidRPr="00312B84" w:rsidRDefault="002B4BED">
            <w:pPr>
              <w:spacing w:after="40"/>
              <w:jc w:val="center"/>
              <w:rPr>
                <w:sz w:val="24"/>
                <w:szCs w:val="24"/>
              </w:rPr>
            </w:pPr>
            <w:r w:rsidRPr="00312B84">
              <w:rPr>
                <w:rFonts w:ascii="Arial" w:eastAsia="Arial" w:hAnsi="Arial" w:cs="Arial"/>
                <w:b/>
                <w:bCs/>
                <w:color w:val="FFFFFF"/>
                <w:sz w:val="18"/>
                <w:szCs w:val="18"/>
              </w:rPr>
              <w:t>QoQ Chg</w:t>
            </w:r>
          </w:p>
        </w:tc>
      </w:tr>
      <w:tr w:rsidR="00813CB8" w:rsidRPr="00312B84" w14:paraId="6EB368A3" w14:textId="77777777">
        <w:trPr>
          <w:cantSplit/>
        </w:trPr>
        <w:tc>
          <w:tcPr>
            <w:tcW w:w="2868" w:type="dxa"/>
            <w:shd w:val="clear" w:color="auto" w:fill="EEF2F6"/>
            <w:tcMar>
              <w:top w:w="90" w:type="dxa"/>
              <w:left w:w="120" w:type="dxa"/>
              <w:bottom w:w="90" w:type="dxa"/>
              <w:right w:w="120" w:type="dxa"/>
            </w:tcMar>
            <w:vAlign w:val="center"/>
          </w:tcPr>
          <w:p w14:paraId="6EB3689E" w14:textId="77777777" w:rsidR="00813CB8" w:rsidRPr="00312B84" w:rsidRDefault="002B4BED">
            <w:pPr>
              <w:spacing w:after="40"/>
              <w:rPr>
                <w:sz w:val="24"/>
                <w:szCs w:val="24"/>
              </w:rPr>
            </w:pPr>
            <w:r w:rsidRPr="00312B84">
              <w:rPr>
                <w:rFonts w:ascii="Arial" w:eastAsia="Arial" w:hAnsi="Arial" w:cs="Arial"/>
                <w:color w:val="22303C"/>
                <w:sz w:val="18"/>
                <w:szCs w:val="18"/>
              </w:rPr>
              <w:t>Revolving credit facility</w:t>
            </w:r>
          </w:p>
        </w:tc>
        <w:tc>
          <w:tcPr>
            <w:tcW w:w="1844" w:type="dxa"/>
            <w:tcMar>
              <w:top w:w="90" w:type="dxa"/>
              <w:left w:w="120" w:type="dxa"/>
              <w:bottom w:w="90" w:type="dxa"/>
              <w:right w:w="120" w:type="dxa"/>
            </w:tcMar>
            <w:vAlign w:val="center"/>
          </w:tcPr>
          <w:p w14:paraId="6EB3689F"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2,675</w:t>
            </w:r>
          </w:p>
        </w:tc>
        <w:tc>
          <w:tcPr>
            <w:tcW w:w="1895" w:type="dxa"/>
            <w:tcMar>
              <w:top w:w="90" w:type="dxa"/>
              <w:left w:w="120" w:type="dxa"/>
              <w:bottom w:w="90" w:type="dxa"/>
              <w:right w:w="120" w:type="dxa"/>
            </w:tcMar>
            <w:vAlign w:val="center"/>
          </w:tcPr>
          <w:p w14:paraId="6EB368A0"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1,640</w:t>
            </w:r>
          </w:p>
        </w:tc>
        <w:tc>
          <w:tcPr>
            <w:tcW w:w="1895" w:type="dxa"/>
            <w:tcMar>
              <w:top w:w="90" w:type="dxa"/>
              <w:left w:w="120" w:type="dxa"/>
              <w:bottom w:w="90" w:type="dxa"/>
              <w:right w:w="120" w:type="dxa"/>
            </w:tcMar>
            <w:vAlign w:val="center"/>
          </w:tcPr>
          <w:p w14:paraId="6EB368A1"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1,620</w:t>
            </w:r>
          </w:p>
        </w:tc>
        <w:tc>
          <w:tcPr>
            <w:tcW w:w="1742" w:type="dxa"/>
            <w:tcMar>
              <w:top w:w="90" w:type="dxa"/>
              <w:left w:w="120" w:type="dxa"/>
              <w:bottom w:w="90" w:type="dxa"/>
              <w:right w:w="120" w:type="dxa"/>
            </w:tcMar>
            <w:vAlign w:val="center"/>
          </w:tcPr>
          <w:p w14:paraId="6EB368A2"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 −20</w:t>
            </w:r>
          </w:p>
        </w:tc>
      </w:tr>
      <w:tr w:rsidR="00813CB8" w:rsidRPr="00312B84" w14:paraId="6EB368A9" w14:textId="77777777">
        <w:trPr>
          <w:cantSplit/>
        </w:trPr>
        <w:tc>
          <w:tcPr>
            <w:tcW w:w="2868" w:type="dxa"/>
            <w:shd w:val="clear" w:color="auto" w:fill="EEF2F6"/>
            <w:tcMar>
              <w:top w:w="90" w:type="dxa"/>
              <w:left w:w="120" w:type="dxa"/>
              <w:bottom w:w="90" w:type="dxa"/>
              <w:right w:w="120" w:type="dxa"/>
            </w:tcMar>
            <w:vAlign w:val="center"/>
          </w:tcPr>
          <w:p w14:paraId="6EB368A4" w14:textId="77777777" w:rsidR="00813CB8" w:rsidRPr="00312B84" w:rsidRDefault="002B4BED">
            <w:pPr>
              <w:spacing w:after="40"/>
              <w:rPr>
                <w:sz w:val="24"/>
                <w:szCs w:val="24"/>
              </w:rPr>
            </w:pPr>
            <w:r w:rsidRPr="00312B84">
              <w:rPr>
                <w:rFonts w:ascii="Arial" w:eastAsia="Arial" w:hAnsi="Arial" w:cs="Arial"/>
                <w:color w:val="22303C"/>
                <w:sz w:val="18"/>
                <w:szCs w:val="18"/>
              </w:rPr>
              <w:t>SPV asset facilities I–III</w:t>
            </w:r>
          </w:p>
        </w:tc>
        <w:tc>
          <w:tcPr>
            <w:tcW w:w="1844" w:type="dxa"/>
            <w:tcMar>
              <w:top w:w="90" w:type="dxa"/>
              <w:left w:w="120" w:type="dxa"/>
              <w:bottom w:w="90" w:type="dxa"/>
              <w:right w:w="120" w:type="dxa"/>
            </w:tcMar>
            <w:vAlign w:val="center"/>
          </w:tcPr>
          <w:p w14:paraId="6EB368A5"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2,200</w:t>
            </w:r>
          </w:p>
        </w:tc>
        <w:tc>
          <w:tcPr>
            <w:tcW w:w="1895" w:type="dxa"/>
            <w:tcMar>
              <w:top w:w="90" w:type="dxa"/>
              <w:left w:w="120" w:type="dxa"/>
              <w:bottom w:w="90" w:type="dxa"/>
              <w:right w:w="120" w:type="dxa"/>
            </w:tcMar>
            <w:vAlign w:val="center"/>
          </w:tcPr>
          <w:p w14:paraId="6EB368A6"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1,650</w:t>
            </w:r>
          </w:p>
        </w:tc>
        <w:tc>
          <w:tcPr>
            <w:tcW w:w="1895" w:type="dxa"/>
            <w:tcMar>
              <w:top w:w="90" w:type="dxa"/>
              <w:left w:w="120" w:type="dxa"/>
              <w:bottom w:w="90" w:type="dxa"/>
              <w:right w:w="120" w:type="dxa"/>
            </w:tcMar>
            <w:vAlign w:val="center"/>
          </w:tcPr>
          <w:p w14:paraId="6EB368A7"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1,650</w:t>
            </w:r>
          </w:p>
        </w:tc>
        <w:tc>
          <w:tcPr>
            <w:tcW w:w="1742" w:type="dxa"/>
            <w:tcMar>
              <w:top w:w="90" w:type="dxa"/>
              <w:left w:w="120" w:type="dxa"/>
              <w:bottom w:w="90" w:type="dxa"/>
              <w:right w:w="120" w:type="dxa"/>
            </w:tcMar>
            <w:vAlign w:val="center"/>
          </w:tcPr>
          <w:p w14:paraId="6EB368A8"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flat</w:t>
            </w:r>
          </w:p>
        </w:tc>
      </w:tr>
      <w:tr w:rsidR="00813CB8" w:rsidRPr="00312B84" w14:paraId="6EB368AF" w14:textId="77777777">
        <w:trPr>
          <w:cantSplit/>
        </w:trPr>
        <w:tc>
          <w:tcPr>
            <w:tcW w:w="2868" w:type="dxa"/>
            <w:shd w:val="clear" w:color="auto" w:fill="EEF2F6"/>
            <w:tcMar>
              <w:top w:w="90" w:type="dxa"/>
              <w:left w:w="120" w:type="dxa"/>
              <w:bottom w:w="90" w:type="dxa"/>
              <w:right w:w="120" w:type="dxa"/>
            </w:tcMar>
            <w:vAlign w:val="center"/>
          </w:tcPr>
          <w:p w14:paraId="6EB368AA" w14:textId="77777777" w:rsidR="00813CB8" w:rsidRPr="00312B84" w:rsidRDefault="002B4BED">
            <w:pPr>
              <w:spacing w:after="40"/>
              <w:rPr>
                <w:sz w:val="24"/>
                <w:szCs w:val="24"/>
              </w:rPr>
            </w:pPr>
            <w:r w:rsidRPr="00312B84">
              <w:rPr>
                <w:rFonts w:ascii="Arial" w:eastAsia="Arial" w:hAnsi="Arial" w:cs="Arial"/>
                <w:color w:val="22303C"/>
                <w:sz w:val="18"/>
                <w:szCs w:val="18"/>
              </w:rPr>
              <w:t>SPV asset facility IV</w:t>
            </w:r>
          </w:p>
        </w:tc>
        <w:tc>
          <w:tcPr>
            <w:tcW w:w="1844" w:type="dxa"/>
            <w:tcMar>
              <w:top w:w="90" w:type="dxa"/>
              <w:left w:w="120" w:type="dxa"/>
              <w:bottom w:w="90" w:type="dxa"/>
              <w:right w:w="120" w:type="dxa"/>
            </w:tcMar>
            <w:vAlign w:val="center"/>
          </w:tcPr>
          <w:p w14:paraId="6EB368AB"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500</w:t>
            </w:r>
          </w:p>
        </w:tc>
        <w:tc>
          <w:tcPr>
            <w:tcW w:w="1895" w:type="dxa"/>
            <w:tcMar>
              <w:top w:w="90" w:type="dxa"/>
              <w:left w:w="120" w:type="dxa"/>
              <w:bottom w:w="90" w:type="dxa"/>
              <w:right w:w="120" w:type="dxa"/>
            </w:tcMar>
            <w:vAlign w:val="center"/>
          </w:tcPr>
          <w:p w14:paraId="6EB368AC"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270</w:t>
            </w:r>
          </w:p>
        </w:tc>
        <w:tc>
          <w:tcPr>
            <w:tcW w:w="1895" w:type="dxa"/>
            <w:tcMar>
              <w:top w:w="90" w:type="dxa"/>
              <w:left w:w="120" w:type="dxa"/>
              <w:bottom w:w="90" w:type="dxa"/>
              <w:right w:w="120" w:type="dxa"/>
            </w:tcMar>
            <w:vAlign w:val="center"/>
          </w:tcPr>
          <w:p w14:paraId="6EB368AD"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370</w:t>
            </w:r>
          </w:p>
        </w:tc>
        <w:tc>
          <w:tcPr>
            <w:tcW w:w="1742" w:type="dxa"/>
            <w:tcMar>
              <w:top w:w="90" w:type="dxa"/>
              <w:left w:w="120" w:type="dxa"/>
              <w:bottom w:w="90" w:type="dxa"/>
              <w:right w:w="120" w:type="dxa"/>
            </w:tcMar>
            <w:vAlign w:val="center"/>
          </w:tcPr>
          <w:p w14:paraId="6EB368AE"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 +100</w:t>
            </w:r>
          </w:p>
        </w:tc>
      </w:tr>
      <w:tr w:rsidR="00813CB8" w:rsidRPr="00312B84" w14:paraId="6EB368B5" w14:textId="77777777">
        <w:trPr>
          <w:cantSplit/>
        </w:trPr>
        <w:tc>
          <w:tcPr>
            <w:tcW w:w="2868" w:type="dxa"/>
            <w:shd w:val="clear" w:color="auto" w:fill="EEF2F6"/>
            <w:tcMar>
              <w:top w:w="90" w:type="dxa"/>
              <w:left w:w="120" w:type="dxa"/>
              <w:bottom w:w="90" w:type="dxa"/>
              <w:right w:w="120" w:type="dxa"/>
            </w:tcMar>
            <w:vAlign w:val="center"/>
          </w:tcPr>
          <w:p w14:paraId="6EB368B0" w14:textId="77777777" w:rsidR="00813CB8" w:rsidRPr="00312B84" w:rsidRDefault="002B4BED">
            <w:pPr>
              <w:spacing w:after="40"/>
              <w:rPr>
                <w:sz w:val="24"/>
                <w:szCs w:val="24"/>
              </w:rPr>
            </w:pPr>
            <w:r w:rsidRPr="00312B84">
              <w:rPr>
                <w:rFonts w:ascii="Arial" w:eastAsia="Arial" w:hAnsi="Arial" w:cs="Arial"/>
                <w:color w:val="22303C"/>
                <w:sz w:val="18"/>
                <w:szCs w:val="18"/>
              </w:rPr>
              <w:t>SPV asset facility V — new, May-26</w:t>
            </w:r>
          </w:p>
        </w:tc>
        <w:tc>
          <w:tcPr>
            <w:tcW w:w="1844" w:type="dxa"/>
            <w:tcMar>
              <w:top w:w="90" w:type="dxa"/>
              <w:left w:w="120" w:type="dxa"/>
              <w:bottom w:w="90" w:type="dxa"/>
              <w:right w:w="120" w:type="dxa"/>
            </w:tcMar>
            <w:vAlign w:val="center"/>
          </w:tcPr>
          <w:p w14:paraId="6EB368B1"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150</w:t>
            </w:r>
          </w:p>
        </w:tc>
        <w:tc>
          <w:tcPr>
            <w:tcW w:w="1895" w:type="dxa"/>
            <w:tcMar>
              <w:top w:w="90" w:type="dxa"/>
              <w:left w:w="120" w:type="dxa"/>
              <w:bottom w:w="90" w:type="dxa"/>
              <w:right w:w="120" w:type="dxa"/>
            </w:tcMar>
            <w:vAlign w:val="center"/>
          </w:tcPr>
          <w:p w14:paraId="6EB368B2"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w:t>
            </w:r>
          </w:p>
        </w:tc>
        <w:tc>
          <w:tcPr>
            <w:tcW w:w="1895" w:type="dxa"/>
            <w:tcMar>
              <w:top w:w="90" w:type="dxa"/>
              <w:left w:w="120" w:type="dxa"/>
              <w:bottom w:w="90" w:type="dxa"/>
              <w:right w:w="120" w:type="dxa"/>
            </w:tcMar>
            <w:vAlign w:val="center"/>
          </w:tcPr>
          <w:p w14:paraId="6EB368B3"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75</w:t>
            </w:r>
          </w:p>
        </w:tc>
        <w:tc>
          <w:tcPr>
            <w:tcW w:w="1742" w:type="dxa"/>
            <w:tcMar>
              <w:top w:w="90" w:type="dxa"/>
              <w:left w:w="120" w:type="dxa"/>
              <w:bottom w:w="90" w:type="dxa"/>
              <w:right w:w="120" w:type="dxa"/>
            </w:tcMar>
            <w:vAlign w:val="center"/>
          </w:tcPr>
          <w:p w14:paraId="6EB368B4"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 +75</w:t>
            </w:r>
          </w:p>
        </w:tc>
      </w:tr>
      <w:tr w:rsidR="00813CB8" w:rsidRPr="00312B84" w14:paraId="6EB368BB" w14:textId="77777777">
        <w:trPr>
          <w:cantSplit/>
        </w:trPr>
        <w:tc>
          <w:tcPr>
            <w:tcW w:w="2868" w:type="dxa"/>
            <w:shd w:val="clear" w:color="auto" w:fill="EEF2F6"/>
            <w:tcMar>
              <w:top w:w="90" w:type="dxa"/>
              <w:left w:w="120" w:type="dxa"/>
              <w:bottom w:w="90" w:type="dxa"/>
              <w:right w:w="120" w:type="dxa"/>
            </w:tcMar>
            <w:vAlign w:val="center"/>
          </w:tcPr>
          <w:p w14:paraId="6EB368B6" w14:textId="77777777" w:rsidR="00813CB8" w:rsidRPr="00312B84" w:rsidRDefault="002B4BED">
            <w:pPr>
              <w:spacing w:after="40"/>
              <w:rPr>
                <w:sz w:val="24"/>
                <w:szCs w:val="24"/>
              </w:rPr>
            </w:pPr>
            <w:r w:rsidRPr="00312B84">
              <w:rPr>
                <w:rFonts w:ascii="Arial" w:eastAsia="Arial" w:hAnsi="Arial" w:cs="Arial"/>
                <w:color w:val="22303C"/>
                <w:sz w:val="18"/>
                <w:szCs w:val="18"/>
              </w:rPr>
              <w:t>Athena CLOs II / IV / V</w:t>
            </w:r>
          </w:p>
        </w:tc>
        <w:tc>
          <w:tcPr>
            <w:tcW w:w="1844" w:type="dxa"/>
            <w:tcMar>
              <w:top w:w="90" w:type="dxa"/>
              <w:left w:w="120" w:type="dxa"/>
              <w:bottom w:w="90" w:type="dxa"/>
              <w:right w:w="120" w:type="dxa"/>
            </w:tcMar>
            <w:vAlign w:val="center"/>
          </w:tcPr>
          <w:p w14:paraId="6EB368B7"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915</w:t>
            </w:r>
          </w:p>
        </w:tc>
        <w:tc>
          <w:tcPr>
            <w:tcW w:w="1895" w:type="dxa"/>
            <w:tcMar>
              <w:top w:w="90" w:type="dxa"/>
              <w:left w:w="120" w:type="dxa"/>
              <w:bottom w:w="90" w:type="dxa"/>
              <w:right w:w="120" w:type="dxa"/>
            </w:tcMar>
            <w:vAlign w:val="center"/>
          </w:tcPr>
          <w:p w14:paraId="6EB368B8"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915</w:t>
            </w:r>
          </w:p>
        </w:tc>
        <w:tc>
          <w:tcPr>
            <w:tcW w:w="1895" w:type="dxa"/>
            <w:tcMar>
              <w:top w:w="90" w:type="dxa"/>
              <w:left w:w="120" w:type="dxa"/>
              <w:bottom w:w="90" w:type="dxa"/>
              <w:right w:w="120" w:type="dxa"/>
            </w:tcMar>
            <w:vAlign w:val="center"/>
          </w:tcPr>
          <w:p w14:paraId="6EB368B9"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915</w:t>
            </w:r>
          </w:p>
        </w:tc>
        <w:tc>
          <w:tcPr>
            <w:tcW w:w="1742" w:type="dxa"/>
            <w:tcMar>
              <w:top w:w="90" w:type="dxa"/>
              <w:left w:w="120" w:type="dxa"/>
              <w:bottom w:w="90" w:type="dxa"/>
              <w:right w:w="120" w:type="dxa"/>
            </w:tcMar>
            <w:vAlign w:val="center"/>
          </w:tcPr>
          <w:p w14:paraId="6EB368BA"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flat</w:t>
            </w:r>
          </w:p>
        </w:tc>
      </w:tr>
      <w:tr w:rsidR="00813CB8" w:rsidRPr="00312B84" w14:paraId="6EB368C1" w14:textId="77777777">
        <w:trPr>
          <w:cantSplit/>
        </w:trPr>
        <w:tc>
          <w:tcPr>
            <w:tcW w:w="2868" w:type="dxa"/>
            <w:shd w:val="clear" w:color="auto" w:fill="EEF2F6"/>
            <w:tcMar>
              <w:top w:w="90" w:type="dxa"/>
              <w:left w:w="120" w:type="dxa"/>
              <w:bottom w:w="90" w:type="dxa"/>
              <w:right w:w="120" w:type="dxa"/>
            </w:tcMar>
            <w:vAlign w:val="center"/>
          </w:tcPr>
          <w:p w14:paraId="6EB368BC" w14:textId="77777777" w:rsidR="00813CB8" w:rsidRPr="00312B84" w:rsidRDefault="002B4BED">
            <w:pPr>
              <w:spacing w:after="40"/>
              <w:rPr>
                <w:sz w:val="24"/>
                <w:szCs w:val="24"/>
              </w:rPr>
            </w:pPr>
            <w:r w:rsidRPr="00312B84">
              <w:rPr>
                <w:rFonts w:ascii="Arial" w:eastAsia="Arial" w:hAnsi="Arial" w:cs="Arial"/>
                <w:color w:val="22303C"/>
                <w:sz w:val="18"/>
                <w:szCs w:val="18"/>
              </w:rPr>
              <w:t>June 2026 notes — matured</w:t>
            </w:r>
          </w:p>
        </w:tc>
        <w:tc>
          <w:tcPr>
            <w:tcW w:w="1844" w:type="dxa"/>
            <w:tcMar>
              <w:top w:w="90" w:type="dxa"/>
              <w:left w:w="120" w:type="dxa"/>
              <w:bottom w:w="90" w:type="dxa"/>
              <w:right w:w="120" w:type="dxa"/>
            </w:tcMar>
            <w:vAlign w:val="center"/>
          </w:tcPr>
          <w:p w14:paraId="6EB368BD"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w:t>
            </w:r>
          </w:p>
        </w:tc>
        <w:tc>
          <w:tcPr>
            <w:tcW w:w="1895" w:type="dxa"/>
            <w:tcMar>
              <w:top w:w="90" w:type="dxa"/>
              <w:left w:w="120" w:type="dxa"/>
              <w:bottom w:w="90" w:type="dxa"/>
              <w:right w:w="120" w:type="dxa"/>
            </w:tcMar>
            <w:vAlign w:val="center"/>
          </w:tcPr>
          <w:p w14:paraId="6EB368BE"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375</w:t>
            </w:r>
          </w:p>
        </w:tc>
        <w:tc>
          <w:tcPr>
            <w:tcW w:w="1895" w:type="dxa"/>
            <w:tcMar>
              <w:top w:w="90" w:type="dxa"/>
              <w:left w:w="120" w:type="dxa"/>
              <w:bottom w:w="90" w:type="dxa"/>
              <w:right w:w="120" w:type="dxa"/>
            </w:tcMar>
            <w:vAlign w:val="center"/>
          </w:tcPr>
          <w:p w14:paraId="6EB368BF"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w:t>
            </w:r>
          </w:p>
        </w:tc>
        <w:tc>
          <w:tcPr>
            <w:tcW w:w="1742" w:type="dxa"/>
            <w:tcMar>
              <w:top w:w="90" w:type="dxa"/>
              <w:left w:w="120" w:type="dxa"/>
              <w:bottom w:w="90" w:type="dxa"/>
              <w:right w:w="120" w:type="dxa"/>
            </w:tcMar>
            <w:vAlign w:val="center"/>
          </w:tcPr>
          <w:p w14:paraId="6EB368C0"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 −375</w:t>
            </w:r>
          </w:p>
        </w:tc>
      </w:tr>
      <w:tr w:rsidR="00813CB8" w:rsidRPr="00312B84" w14:paraId="6EB368C7" w14:textId="77777777">
        <w:trPr>
          <w:cantSplit/>
        </w:trPr>
        <w:tc>
          <w:tcPr>
            <w:tcW w:w="2868" w:type="dxa"/>
            <w:shd w:val="clear" w:color="auto" w:fill="EEF2F6"/>
            <w:tcMar>
              <w:top w:w="90" w:type="dxa"/>
              <w:left w:w="120" w:type="dxa"/>
              <w:bottom w:w="90" w:type="dxa"/>
              <w:right w:w="120" w:type="dxa"/>
            </w:tcMar>
            <w:vAlign w:val="center"/>
          </w:tcPr>
          <w:p w14:paraId="6EB368C2" w14:textId="77777777" w:rsidR="00813CB8" w:rsidRPr="00312B84" w:rsidRDefault="002B4BED">
            <w:pPr>
              <w:spacing w:after="40"/>
              <w:rPr>
                <w:sz w:val="24"/>
                <w:szCs w:val="24"/>
              </w:rPr>
            </w:pPr>
            <w:r w:rsidRPr="00312B84">
              <w:rPr>
                <w:rFonts w:ascii="Arial" w:eastAsia="Arial" w:hAnsi="Arial" w:cs="Arial"/>
                <w:color w:val="22303C"/>
                <w:sz w:val="18"/>
                <w:szCs w:val="18"/>
              </w:rPr>
              <w:t>January 2027 notes, 2.50%</w:t>
            </w:r>
          </w:p>
        </w:tc>
        <w:tc>
          <w:tcPr>
            <w:tcW w:w="1844" w:type="dxa"/>
            <w:tcMar>
              <w:top w:w="90" w:type="dxa"/>
              <w:left w:w="120" w:type="dxa"/>
              <w:bottom w:w="90" w:type="dxa"/>
              <w:right w:w="120" w:type="dxa"/>
            </w:tcMar>
            <w:vAlign w:val="center"/>
          </w:tcPr>
          <w:p w14:paraId="6EB368C3"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300</w:t>
            </w:r>
          </w:p>
        </w:tc>
        <w:tc>
          <w:tcPr>
            <w:tcW w:w="1895" w:type="dxa"/>
            <w:tcMar>
              <w:top w:w="90" w:type="dxa"/>
              <w:left w:w="120" w:type="dxa"/>
              <w:bottom w:w="90" w:type="dxa"/>
              <w:right w:w="120" w:type="dxa"/>
            </w:tcMar>
            <w:vAlign w:val="center"/>
          </w:tcPr>
          <w:p w14:paraId="6EB368C4"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300</w:t>
            </w:r>
          </w:p>
        </w:tc>
        <w:tc>
          <w:tcPr>
            <w:tcW w:w="1895" w:type="dxa"/>
            <w:tcMar>
              <w:top w:w="90" w:type="dxa"/>
              <w:left w:w="120" w:type="dxa"/>
              <w:bottom w:w="90" w:type="dxa"/>
              <w:right w:w="120" w:type="dxa"/>
            </w:tcMar>
            <w:vAlign w:val="center"/>
          </w:tcPr>
          <w:p w14:paraId="6EB368C5"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300</w:t>
            </w:r>
          </w:p>
        </w:tc>
        <w:tc>
          <w:tcPr>
            <w:tcW w:w="1742" w:type="dxa"/>
            <w:tcMar>
              <w:top w:w="90" w:type="dxa"/>
              <w:left w:w="120" w:type="dxa"/>
              <w:bottom w:w="90" w:type="dxa"/>
              <w:right w:w="120" w:type="dxa"/>
            </w:tcMar>
            <w:vAlign w:val="center"/>
          </w:tcPr>
          <w:p w14:paraId="6EB368C6"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flat</w:t>
            </w:r>
          </w:p>
        </w:tc>
      </w:tr>
      <w:tr w:rsidR="00813CB8" w:rsidRPr="00312B84" w14:paraId="6EB368CD" w14:textId="77777777">
        <w:trPr>
          <w:cantSplit/>
        </w:trPr>
        <w:tc>
          <w:tcPr>
            <w:tcW w:w="2868" w:type="dxa"/>
            <w:shd w:val="clear" w:color="auto" w:fill="EEF2F6"/>
            <w:tcMar>
              <w:top w:w="90" w:type="dxa"/>
              <w:left w:w="120" w:type="dxa"/>
              <w:bottom w:w="90" w:type="dxa"/>
              <w:right w:w="120" w:type="dxa"/>
            </w:tcMar>
            <w:vAlign w:val="center"/>
          </w:tcPr>
          <w:p w14:paraId="6EB368C8" w14:textId="77777777" w:rsidR="00813CB8" w:rsidRPr="00312B84" w:rsidRDefault="002B4BED">
            <w:pPr>
              <w:spacing w:after="40"/>
              <w:rPr>
                <w:sz w:val="24"/>
                <w:szCs w:val="24"/>
              </w:rPr>
            </w:pPr>
            <w:r w:rsidRPr="00312B84">
              <w:rPr>
                <w:rFonts w:ascii="Arial" w:eastAsia="Arial" w:hAnsi="Arial" w:cs="Arial"/>
                <w:color w:val="22303C"/>
                <w:sz w:val="18"/>
                <w:szCs w:val="18"/>
              </w:rPr>
              <w:t>March / September 2028 notes</w:t>
            </w:r>
          </w:p>
        </w:tc>
        <w:tc>
          <w:tcPr>
            <w:tcW w:w="1844" w:type="dxa"/>
            <w:tcMar>
              <w:top w:w="90" w:type="dxa"/>
              <w:left w:w="120" w:type="dxa"/>
              <w:bottom w:w="90" w:type="dxa"/>
              <w:right w:w="120" w:type="dxa"/>
            </w:tcMar>
            <w:vAlign w:val="center"/>
          </w:tcPr>
          <w:p w14:paraId="6EB368C9"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725</w:t>
            </w:r>
          </w:p>
        </w:tc>
        <w:tc>
          <w:tcPr>
            <w:tcW w:w="1895" w:type="dxa"/>
            <w:tcMar>
              <w:top w:w="90" w:type="dxa"/>
              <w:left w:w="120" w:type="dxa"/>
              <w:bottom w:w="90" w:type="dxa"/>
              <w:right w:w="120" w:type="dxa"/>
            </w:tcMar>
            <w:vAlign w:val="center"/>
          </w:tcPr>
          <w:p w14:paraId="6EB368CA"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725</w:t>
            </w:r>
          </w:p>
        </w:tc>
        <w:tc>
          <w:tcPr>
            <w:tcW w:w="1895" w:type="dxa"/>
            <w:tcMar>
              <w:top w:w="90" w:type="dxa"/>
              <w:left w:w="120" w:type="dxa"/>
              <w:bottom w:w="90" w:type="dxa"/>
              <w:right w:w="120" w:type="dxa"/>
            </w:tcMar>
            <w:vAlign w:val="center"/>
          </w:tcPr>
          <w:p w14:paraId="6EB368CB"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725</w:t>
            </w:r>
          </w:p>
        </w:tc>
        <w:tc>
          <w:tcPr>
            <w:tcW w:w="1742" w:type="dxa"/>
            <w:tcMar>
              <w:top w:w="90" w:type="dxa"/>
              <w:left w:w="120" w:type="dxa"/>
              <w:bottom w:w="90" w:type="dxa"/>
              <w:right w:w="120" w:type="dxa"/>
            </w:tcMar>
            <w:vAlign w:val="center"/>
          </w:tcPr>
          <w:p w14:paraId="6EB368CC"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flat</w:t>
            </w:r>
          </w:p>
        </w:tc>
      </w:tr>
      <w:tr w:rsidR="00813CB8" w:rsidRPr="00312B84" w14:paraId="6EB368D3" w14:textId="77777777">
        <w:trPr>
          <w:cantSplit/>
        </w:trPr>
        <w:tc>
          <w:tcPr>
            <w:tcW w:w="2868" w:type="dxa"/>
            <w:shd w:val="clear" w:color="auto" w:fill="EEF2F6"/>
            <w:tcMar>
              <w:top w:w="90" w:type="dxa"/>
              <w:left w:w="120" w:type="dxa"/>
              <w:bottom w:w="90" w:type="dxa"/>
              <w:right w:w="120" w:type="dxa"/>
            </w:tcMar>
            <w:vAlign w:val="center"/>
          </w:tcPr>
          <w:p w14:paraId="6EB368CE" w14:textId="77777777" w:rsidR="00813CB8" w:rsidRPr="00312B84" w:rsidRDefault="002B4BED">
            <w:pPr>
              <w:spacing w:after="40"/>
              <w:rPr>
                <w:sz w:val="24"/>
                <w:szCs w:val="24"/>
              </w:rPr>
            </w:pPr>
            <w:r w:rsidRPr="00312B84">
              <w:rPr>
                <w:rFonts w:ascii="Arial" w:eastAsia="Arial" w:hAnsi="Arial" w:cs="Arial"/>
                <w:color w:val="22303C"/>
                <w:sz w:val="18"/>
                <w:szCs w:val="18"/>
              </w:rPr>
              <w:t>April 2029 notes, 6.75%</w:t>
            </w:r>
          </w:p>
        </w:tc>
        <w:tc>
          <w:tcPr>
            <w:tcW w:w="1844" w:type="dxa"/>
            <w:tcMar>
              <w:top w:w="90" w:type="dxa"/>
              <w:left w:w="120" w:type="dxa"/>
              <w:bottom w:w="90" w:type="dxa"/>
              <w:right w:w="120" w:type="dxa"/>
            </w:tcMar>
            <w:vAlign w:val="center"/>
          </w:tcPr>
          <w:p w14:paraId="6EB368CF"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700</w:t>
            </w:r>
          </w:p>
        </w:tc>
        <w:tc>
          <w:tcPr>
            <w:tcW w:w="1895" w:type="dxa"/>
            <w:tcMar>
              <w:top w:w="90" w:type="dxa"/>
              <w:left w:w="120" w:type="dxa"/>
              <w:bottom w:w="90" w:type="dxa"/>
              <w:right w:w="120" w:type="dxa"/>
            </w:tcMar>
            <w:vAlign w:val="center"/>
          </w:tcPr>
          <w:p w14:paraId="6EB368D0"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700</w:t>
            </w:r>
          </w:p>
        </w:tc>
        <w:tc>
          <w:tcPr>
            <w:tcW w:w="1895" w:type="dxa"/>
            <w:tcMar>
              <w:top w:w="90" w:type="dxa"/>
              <w:left w:w="120" w:type="dxa"/>
              <w:bottom w:w="90" w:type="dxa"/>
              <w:right w:w="120" w:type="dxa"/>
            </w:tcMar>
            <w:vAlign w:val="center"/>
          </w:tcPr>
          <w:p w14:paraId="6EB368D1"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700</w:t>
            </w:r>
          </w:p>
        </w:tc>
        <w:tc>
          <w:tcPr>
            <w:tcW w:w="1742" w:type="dxa"/>
            <w:tcMar>
              <w:top w:w="90" w:type="dxa"/>
              <w:left w:w="120" w:type="dxa"/>
              <w:bottom w:w="90" w:type="dxa"/>
              <w:right w:w="120" w:type="dxa"/>
            </w:tcMar>
            <w:vAlign w:val="center"/>
          </w:tcPr>
          <w:p w14:paraId="6EB368D2"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flat</w:t>
            </w:r>
          </w:p>
        </w:tc>
      </w:tr>
      <w:tr w:rsidR="00813CB8" w:rsidRPr="00312B84" w14:paraId="6EB368D9" w14:textId="77777777">
        <w:trPr>
          <w:cantSplit/>
        </w:trPr>
        <w:tc>
          <w:tcPr>
            <w:tcW w:w="2868" w:type="dxa"/>
            <w:shd w:val="clear" w:color="auto" w:fill="EEF2F6"/>
            <w:tcMar>
              <w:top w:w="90" w:type="dxa"/>
              <w:left w:w="120" w:type="dxa"/>
              <w:bottom w:w="90" w:type="dxa"/>
              <w:right w:w="120" w:type="dxa"/>
            </w:tcMar>
            <w:vAlign w:val="center"/>
          </w:tcPr>
          <w:p w14:paraId="6EB368D4" w14:textId="77777777" w:rsidR="00813CB8" w:rsidRPr="00312B84" w:rsidRDefault="002B4BED">
            <w:pPr>
              <w:spacing w:after="40"/>
              <w:rPr>
                <w:sz w:val="24"/>
                <w:szCs w:val="24"/>
              </w:rPr>
            </w:pPr>
            <w:r w:rsidRPr="00312B84">
              <w:rPr>
                <w:rFonts w:ascii="Arial" w:eastAsia="Arial" w:hAnsi="Arial" w:cs="Arial"/>
                <w:color w:val="22303C"/>
                <w:sz w:val="18"/>
                <w:szCs w:val="18"/>
              </w:rPr>
              <w:t>October 2029 notes, 6.50% — new, Jun-26</w:t>
            </w:r>
          </w:p>
        </w:tc>
        <w:tc>
          <w:tcPr>
            <w:tcW w:w="1844" w:type="dxa"/>
            <w:tcMar>
              <w:top w:w="90" w:type="dxa"/>
              <w:left w:w="120" w:type="dxa"/>
              <w:bottom w:w="90" w:type="dxa"/>
              <w:right w:w="120" w:type="dxa"/>
            </w:tcMar>
            <w:vAlign w:val="center"/>
          </w:tcPr>
          <w:p w14:paraId="6EB368D5"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500</w:t>
            </w:r>
          </w:p>
        </w:tc>
        <w:tc>
          <w:tcPr>
            <w:tcW w:w="1895" w:type="dxa"/>
            <w:tcMar>
              <w:top w:w="90" w:type="dxa"/>
              <w:left w:w="120" w:type="dxa"/>
              <w:bottom w:w="90" w:type="dxa"/>
              <w:right w:w="120" w:type="dxa"/>
            </w:tcMar>
            <w:vAlign w:val="center"/>
          </w:tcPr>
          <w:p w14:paraId="6EB368D6"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w:t>
            </w:r>
          </w:p>
        </w:tc>
        <w:tc>
          <w:tcPr>
            <w:tcW w:w="1895" w:type="dxa"/>
            <w:tcMar>
              <w:top w:w="90" w:type="dxa"/>
              <w:left w:w="120" w:type="dxa"/>
              <w:bottom w:w="90" w:type="dxa"/>
              <w:right w:w="120" w:type="dxa"/>
            </w:tcMar>
            <w:vAlign w:val="center"/>
          </w:tcPr>
          <w:p w14:paraId="6EB368D7"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500</w:t>
            </w:r>
          </w:p>
        </w:tc>
        <w:tc>
          <w:tcPr>
            <w:tcW w:w="1742" w:type="dxa"/>
            <w:tcMar>
              <w:top w:w="90" w:type="dxa"/>
              <w:left w:w="120" w:type="dxa"/>
              <w:bottom w:w="90" w:type="dxa"/>
              <w:right w:w="120" w:type="dxa"/>
            </w:tcMar>
            <w:vAlign w:val="center"/>
          </w:tcPr>
          <w:p w14:paraId="6EB368D8"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 +500</w:t>
            </w:r>
          </w:p>
        </w:tc>
      </w:tr>
      <w:tr w:rsidR="00813CB8" w:rsidRPr="00312B84" w14:paraId="6EB368DF" w14:textId="77777777">
        <w:trPr>
          <w:cantSplit/>
        </w:trPr>
        <w:tc>
          <w:tcPr>
            <w:tcW w:w="2868" w:type="dxa"/>
            <w:shd w:val="clear" w:color="auto" w:fill="EEF2F6"/>
            <w:tcMar>
              <w:top w:w="90" w:type="dxa"/>
              <w:left w:w="120" w:type="dxa"/>
              <w:bottom w:w="90" w:type="dxa"/>
              <w:right w:w="120" w:type="dxa"/>
            </w:tcMar>
            <w:vAlign w:val="center"/>
          </w:tcPr>
          <w:p w14:paraId="6EB368DA" w14:textId="77777777" w:rsidR="00813CB8" w:rsidRPr="00312B84" w:rsidRDefault="002B4BED">
            <w:pPr>
              <w:spacing w:after="40"/>
              <w:rPr>
                <w:sz w:val="24"/>
                <w:szCs w:val="24"/>
              </w:rPr>
            </w:pPr>
            <w:r w:rsidRPr="00312B84">
              <w:rPr>
                <w:rFonts w:ascii="Arial" w:eastAsia="Arial" w:hAnsi="Arial" w:cs="Arial"/>
                <w:color w:val="22303C"/>
                <w:sz w:val="18"/>
                <w:szCs w:val="18"/>
              </w:rPr>
              <w:t>January 2031 notes, 6.125%</w:t>
            </w:r>
          </w:p>
        </w:tc>
        <w:tc>
          <w:tcPr>
            <w:tcW w:w="1844" w:type="dxa"/>
            <w:tcMar>
              <w:top w:w="90" w:type="dxa"/>
              <w:left w:w="120" w:type="dxa"/>
              <w:bottom w:w="90" w:type="dxa"/>
              <w:right w:w="120" w:type="dxa"/>
            </w:tcMar>
            <w:vAlign w:val="center"/>
          </w:tcPr>
          <w:p w14:paraId="6EB368DB"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400</w:t>
            </w:r>
          </w:p>
        </w:tc>
        <w:tc>
          <w:tcPr>
            <w:tcW w:w="1895" w:type="dxa"/>
            <w:tcMar>
              <w:top w:w="90" w:type="dxa"/>
              <w:left w:w="120" w:type="dxa"/>
              <w:bottom w:w="90" w:type="dxa"/>
              <w:right w:w="120" w:type="dxa"/>
            </w:tcMar>
            <w:vAlign w:val="center"/>
          </w:tcPr>
          <w:p w14:paraId="6EB368DC"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400</w:t>
            </w:r>
          </w:p>
        </w:tc>
        <w:tc>
          <w:tcPr>
            <w:tcW w:w="1895" w:type="dxa"/>
            <w:tcMar>
              <w:top w:w="90" w:type="dxa"/>
              <w:left w:w="120" w:type="dxa"/>
              <w:bottom w:w="90" w:type="dxa"/>
              <w:right w:w="120" w:type="dxa"/>
            </w:tcMar>
            <w:vAlign w:val="center"/>
          </w:tcPr>
          <w:p w14:paraId="6EB368DD"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400</w:t>
            </w:r>
          </w:p>
        </w:tc>
        <w:tc>
          <w:tcPr>
            <w:tcW w:w="1742" w:type="dxa"/>
            <w:tcMar>
              <w:top w:w="90" w:type="dxa"/>
              <w:left w:w="120" w:type="dxa"/>
              <w:bottom w:w="90" w:type="dxa"/>
              <w:right w:w="120" w:type="dxa"/>
            </w:tcMar>
            <w:vAlign w:val="center"/>
          </w:tcPr>
          <w:p w14:paraId="6EB368DE"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flat</w:t>
            </w:r>
          </w:p>
        </w:tc>
      </w:tr>
      <w:tr w:rsidR="00813CB8" w:rsidRPr="00312B84" w14:paraId="6EB368E5" w14:textId="77777777">
        <w:trPr>
          <w:cantSplit/>
        </w:trPr>
        <w:tc>
          <w:tcPr>
            <w:tcW w:w="2868" w:type="dxa"/>
            <w:shd w:val="clear" w:color="auto" w:fill="EEF2F6"/>
            <w:tcMar>
              <w:top w:w="90" w:type="dxa"/>
              <w:left w:w="120" w:type="dxa"/>
              <w:bottom w:w="90" w:type="dxa"/>
              <w:right w:w="120" w:type="dxa"/>
            </w:tcMar>
            <w:vAlign w:val="center"/>
          </w:tcPr>
          <w:p w14:paraId="6EB368E0" w14:textId="77777777" w:rsidR="00813CB8" w:rsidRPr="00312B84" w:rsidRDefault="002B4BED">
            <w:pPr>
              <w:spacing w:after="40"/>
              <w:rPr>
                <w:sz w:val="24"/>
                <w:szCs w:val="24"/>
              </w:rPr>
            </w:pPr>
            <w:r w:rsidRPr="00312B84">
              <w:rPr>
                <w:rFonts w:ascii="Arial" w:eastAsia="Arial" w:hAnsi="Arial" w:cs="Arial"/>
                <w:b/>
                <w:bCs/>
                <w:color w:val="22303C"/>
                <w:sz w:val="18"/>
                <w:szCs w:val="18"/>
              </w:rPr>
              <w:t>Total debt</w:t>
            </w:r>
          </w:p>
        </w:tc>
        <w:tc>
          <w:tcPr>
            <w:tcW w:w="1844" w:type="dxa"/>
            <w:tcMar>
              <w:top w:w="90" w:type="dxa"/>
              <w:left w:w="120" w:type="dxa"/>
              <w:bottom w:w="90" w:type="dxa"/>
              <w:right w:w="120" w:type="dxa"/>
            </w:tcMar>
            <w:vAlign w:val="center"/>
          </w:tcPr>
          <w:p w14:paraId="6EB368E1" w14:textId="77777777" w:rsidR="00813CB8" w:rsidRPr="00312B84" w:rsidRDefault="002B4BED">
            <w:pPr>
              <w:spacing w:after="40"/>
              <w:rPr>
                <w:sz w:val="24"/>
                <w:szCs w:val="24"/>
              </w:rPr>
            </w:pPr>
            <w:r w:rsidRPr="00312B84">
              <w:rPr>
                <w:rFonts w:ascii="Arial" w:eastAsia="Arial" w:hAnsi="Arial" w:cs="Arial"/>
                <w:b/>
                <w:bCs/>
                <w:color w:val="22303C"/>
                <w:sz w:val="18"/>
                <w:szCs w:val="18"/>
              </w:rPr>
              <w:t>9,065</w:t>
            </w:r>
          </w:p>
        </w:tc>
        <w:tc>
          <w:tcPr>
            <w:tcW w:w="1895" w:type="dxa"/>
            <w:tcMar>
              <w:top w:w="90" w:type="dxa"/>
              <w:left w:w="120" w:type="dxa"/>
              <w:bottom w:w="90" w:type="dxa"/>
              <w:right w:w="120" w:type="dxa"/>
            </w:tcMar>
            <w:vAlign w:val="center"/>
          </w:tcPr>
          <w:p w14:paraId="6EB368E2" w14:textId="77777777" w:rsidR="00813CB8" w:rsidRPr="00312B84" w:rsidRDefault="002B4BED">
            <w:pPr>
              <w:spacing w:after="40"/>
              <w:rPr>
                <w:sz w:val="24"/>
                <w:szCs w:val="24"/>
              </w:rPr>
            </w:pPr>
            <w:r w:rsidRPr="00312B84">
              <w:rPr>
                <w:rFonts w:ascii="Arial" w:eastAsia="Arial" w:hAnsi="Arial" w:cs="Arial"/>
                <w:b/>
                <w:bCs/>
                <w:color w:val="22303C"/>
                <w:sz w:val="18"/>
                <w:szCs w:val="18"/>
              </w:rPr>
              <w:t>6,975</w:t>
            </w:r>
          </w:p>
        </w:tc>
        <w:tc>
          <w:tcPr>
            <w:tcW w:w="1895" w:type="dxa"/>
            <w:tcMar>
              <w:top w:w="90" w:type="dxa"/>
              <w:left w:w="120" w:type="dxa"/>
              <w:bottom w:w="90" w:type="dxa"/>
              <w:right w:w="120" w:type="dxa"/>
            </w:tcMar>
            <w:vAlign w:val="center"/>
          </w:tcPr>
          <w:p w14:paraId="6EB368E3" w14:textId="77777777" w:rsidR="00813CB8" w:rsidRPr="00312B84" w:rsidRDefault="002B4BED">
            <w:pPr>
              <w:spacing w:after="40"/>
              <w:rPr>
                <w:sz w:val="24"/>
                <w:szCs w:val="24"/>
              </w:rPr>
            </w:pPr>
            <w:r w:rsidRPr="00312B84">
              <w:rPr>
                <w:rFonts w:ascii="Arial" w:eastAsia="Arial" w:hAnsi="Arial" w:cs="Arial"/>
                <w:b/>
                <w:bCs/>
                <w:color w:val="22303C"/>
                <w:sz w:val="18"/>
                <w:szCs w:val="18"/>
              </w:rPr>
              <w:t>7,255</w:t>
            </w:r>
          </w:p>
        </w:tc>
        <w:tc>
          <w:tcPr>
            <w:tcW w:w="1742" w:type="dxa"/>
            <w:tcMar>
              <w:top w:w="90" w:type="dxa"/>
              <w:left w:w="120" w:type="dxa"/>
              <w:bottom w:w="90" w:type="dxa"/>
              <w:right w:w="120" w:type="dxa"/>
            </w:tcMar>
            <w:vAlign w:val="center"/>
          </w:tcPr>
          <w:p w14:paraId="6EB368E4" w14:textId="77777777" w:rsidR="00813CB8" w:rsidRPr="00312B84" w:rsidRDefault="002B4BED">
            <w:pPr>
              <w:spacing w:after="40"/>
              <w:rPr>
                <w:sz w:val="24"/>
                <w:szCs w:val="24"/>
              </w:rPr>
            </w:pPr>
            <w:r w:rsidRPr="00312B84">
              <w:rPr>
                <w:rFonts w:ascii="Arial" w:eastAsia="Arial" w:hAnsi="Arial" w:cs="Arial"/>
                <w:b/>
                <w:bCs/>
                <w:color w:val="22303C"/>
                <w:sz w:val="18"/>
                <w:szCs w:val="18"/>
              </w:rPr>
              <w:t>↑ +280</w:t>
            </w:r>
          </w:p>
        </w:tc>
      </w:tr>
      <w:tr w:rsidR="00813CB8" w:rsidRPr="00312B84" w14:paraId="6EB368EB" w14:textId="77777777">
        <w:trPr>
          <w:cantSplit/>
        </w:trPr>
        <w:tc>
          <w:tcPr>
            <w:tcW w:w="2868" w:type="dxa"/>
            <w:shd w:val="clear" w:color="auto" w:fill="EEF2F6"/>
            <w:tcMar>
              <w:top w:w="90" w:type="dxa"/>
              <w:left w:w="120" w:type="dxa"/>
              <w:bottom w:w="90" w:type="dxa"/>
              <w:right w:w="120" w:type="dxa"/>
            </w:tcMar>
            <w:vAlign w:val="center"/>
          </w:tcPr>
          <w:p w14:paraId="6EB368E6" w14:textId="77777777" w:rsidR="00813CB8" w:rsidRPr="00312B84" w:rsidRDefault="002B4BED">
            <w:pPr>
              <w:spacing w:after="40"/>
              <w:rPr>
                <w:sz w:val="24"/>
                <w:szCs w:val="24"/>
              </w:rPr>
            </w:pPr>
            <w:r w:rsidRPr="00312B84">
              <w:rPr>
                <w:rFonts w:ascii="Arial" w:eastAsia="Arial" w:hAnsi="Arial" w:cs="Arial"/>
                <w:color w:val="22303C"/>
                <w:sz w:val="18"/>
                <w:szCs w:val="18"/>
              </w:rPr>
              <w:t>Unsecured share of outstanding debt</w:t>
            </w:r>
          </w:p>
        </w:tc>
        <w:tc>
          <w:tcPr>
            <w:tcW w:w="1844" w:type="dxa"/>
            <w:tcMar>
              <w:top w:w="90" w:type="dxa"/>
              <w:left w:w="120" w:type="dxa"/>
              <w:bottom w:w="90" w:type="dxa"/>
              <w:right w:w="120" w:type="dxa"/>
            </w:tcMar>
            <w:vAlign w:val="center"/>
          </w:tcPr>
          <w:p w14:paraId="6EB368E7" w14:textId="77777777" w:rsidR="00813CB8" w:rsidRPr="00312B84" w:rsidRDefault="00813CB8">
            <w:pPr>
              <w:spacing w:after="40"/>
              <w:jc w:val="center"/>
              <w:rPr>
                <w:sz w:val="24"/>
                <w:szCs w:val="24"/>
              </w:rPr>
            </w:pPr>
          </w:p>
        </w:tc>
        <w:tc>
          <w:tcPr>
            <w:tcW w:w="1895" w:type="dxa"/>
            <w:tcMar>
              <w:top w:w="90" w:type="dxa"/>
              <w:left w:w="120" w:type="dxa"/>
              <w:bottom w:w="90" w:type="dxa"/>
              <w:right w:w="120" w:type="dxa"/>
            </w:tcMar>
            <w:vAlign w:val="center"/>
          </w:tcPr>
          <w:p w14:paraId="6EB368E8"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35.8%</w:t>
            </w:r>
          </w:p>
        </w:tc>
        <w:tc>
          <w:tcPr>
            <w:tcW w:w="1895" w:type="dxa"/>
            <w:tcMar>
              <w:top w:w="90" w:type="dxa"/>
              <w:left w:w="120" w:type="dxa"/>
              <w:bottom w:w="90" w:type="dxa"/>
              <w:right w:w="120" w:type="dxa"/>
            </w:tcMar>
            <w:vAlign w:val="center"/>
          </w:tcPr>
          <w:p w14:paraId="6EB368E9"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36.2%</w:t>
            </w:r>
          </w:p>
        </w:tc>
        <w:tc>
          <w:tcPr>
            <w:tcW w:w="1742" w:type="dxa"/>
            <w:tcMar>
              <w:top w:w="90" w:type="dxa"/>
              <w:left w:w="120" w:type="dxa"/>
              <w:bottom w:w="90" w:type="dxa"/>
              <w:right w:w="120" w:type="dxa"/>
            </w:tcMar>
            <w:vAlign w:val="center"/>
          </w:tcPr>
          <w:p w14:paraId="6EB368EA"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 +0.4pp</w:t>
            </w:r>
          </w:p>
        </w:tc>
      </w:tr>
      <w:tr w:rsidR="00813CB8" w:rsidRPr="00312B84" w14:paraId="6EB368F1" w14:textId="77777777">
        <w:trPr>
          <w:cantSplit/>
        </w:trPr>
        <w:tc>
          <w:tcPr>
            <w:tcW w:w="2868" w:type="dxa"/>
            <w:shd w:val="clear" w:color="auto" w:fill="EEF2F6"/>
            <w:tcMar>
              <w:top w:w="90" w:type="dxa"/>
              <w:left w:w="120" w:type="dxa"/>
              <w:bottom w:w="90" w:type="dxa"/>
              <w:right w:w="120" w:type="dxa"/>
            </w:tcMar>
            <w:vAlign w:val="center"/>
          </w:tcPr>
          <w:p w14:paraId="6EB368EC" w14:textId="77777777" w:rsidR="00813CB8" w:rsidRPr="00312B84" w:rsidRDefault="002B4BED">
            <w:pPr>
              <w:spacing w:after="40"/>
              <w:rPr>
                <w:sz w:val="24"/>
                <w:szCs w:val="24"/>
              </w:rPr>
            </w:pPr>
            <w:r w:rsidRPr="00312B84">
              <w:rPr>
                <w:rFonts w:ascii="Arial" w:eastAsia="Arial" w:hAnsi="Arial" w:cs="Arial"/>
                <w:color w:val="22303C"/>
                <w:sz w:val="18"/>
                <w:szCs w:val="18"/>
              </w:rPr>
              <w:t>Available liquidity — cash + undrawn</w:t>
            </w:r>
          </w:p>
        </w:tc>
        <w:tc>
          <w:tcPr>
            <w:tcW w:w="1844" w:type="dxa"/>
            <w:tcMar>
              <w:top w:w="90" w:type="dxa"/>
              <w:left w:w="120" w:type="dxa"/>
              <w:bottom w:w="90" w:type="dxa"/>
              <w:right w:w="120" w:type="dxa"/>
            </w:tcMar>
            <w:vAlign w:val="center"/>
          </w:tcPr>
          <w:p w14:paraId="6EB368ED" w14:textId="77777777" w:rsidR="00813CB8" w:rsidRPr="00312B84" w:rsidRDefault="00813CB8">
            <w:pPr>
              <w:spacing w:after="40"/>
              <w:jc w:val="center"/>
              <w:rPr>
                <w:sz w:val="24"/>
                <w:szCs w:val="24"/>
              </w:rPr>
            </w:pPr>
          </w:p>
        </w:tc>
        <w:tc>
          <w:tcPr>
            <w:tcW w:w="1895" w:type="dxa"/>
            <w:tcMar>
              <w:top w:w="90" w:type="dxa"/>
              <w:left w:w="120" w:type="dxa"/>
              <w:bottom w:w="90" w:type="dxa"/>
              <w:right w:w="120" w:type="dxa"/>
            </w:tcMar>
            <w:vAlign w:val="center"/>
          </w:tcPr>
          <w:p w14:paraId="6EB368EE"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$2.3bn</w:t>
            </w:r>
          </w:p>
        </w:tc>
        <w:tc>
          <w:tcPr>
            <w:tcW w:w="1895" w:type="dxa"/>
            <w:tcMar>
              <w:top w:w="90" w:type="dxa"/>
              <w:left w:w="120" w:type="dxa"/>
              <w:bottom w:w="90" w:type="dxa"/>
              <w:right w:w="120" w:type="dxa"/>
            </w:tcMar>
            <w:vAlign w:val="center"/>
          </w:tcPr>
          <w:p w14:paraId="6EB368EF"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$2.0bn</w:t>
            </w:r>
          </w:p>
        </w:tc>
        <w:tc>
          <w:tcPr>
            <w:tcW w:w="1742" w:type="dxa"/>
            <w:tcMar>
              <w:top w:w="90" w:type="dxa"/>
              <w:left w:w="120" w:type="dxa"/>
              <w:bottom w:w="90" w:type="dxa"/>
              <w:right w:w="120" w:type="dxa"/>
            </w:tcMar>
            <w:vAlign w:val="center"/>
          </w:tcPr>
          <w:p w14:paraId="6EB368F0" w14:textId="77777777" w:rsidR="00813CB8" w:rsidRPr="00312B84" w:rsidRDefault="002B4BED">
            <w:pPr>
              <w:spacing w:after="40"/>
              <w:jc w:val="center"/>
              <w:rPr>
                <w:sz w:val="24"/>
                <w:szCs w:val="24"/>
              </w:rPr>
            </w:pPr>
            <w:r w:rsidRPr="00312B84">
              <w:rPr>
                <w:rFonts w:ascii="Arial" w:eastAsia="Arial" w:hAnsi="Arial" w:cs="Arial"/>
                <w:color w:val="22303C"/>
                <w:sz w:val="18"/>
                <w:szCs w:val="18"/>
              </w:rPr>
              <w:t>↓ −$0.3bn</w:t>
            </w:r>
          </w:p>
        </w:tc>
      </w:tr>
    </w:tbl>
    <w:p w14:paraId="6EB368F2" w14:textId="77777777" w:rsidR="00813CB8" w:rsidRPr="00312B84" w:rsidRDefault="002B4BED">
      <w:pPr>
        <w:spacing w:after="200"/>
        <w:ind w:left="200"/>
        <w:rPr>
          <w:sz w:val="24"/>
          <w:szCs w:val="24"/>
        </w:rPr>
      </w:pPr>
      <w:r w:rsidRPr="00312B84">
        <w:rPr>
          <w:rFonts w:ascii="Arial" w:eastAsia="Arial" w:hAnsi="Arial" w:cs="Arial"/>
          <w:i/>
          <w:iCs/>
          <w:color w:val="5A6B7B"/>
          <w:sz w:val="13"/>
          <w:szCs w:val="13"/>
        </w:rPr>
        <w:t>Principal amounts, $mm; committed amounts as of Q2'26 — total committed was $8,790mm at Q1'26. Weighted-average debt maturity ~5.8 years on committed debt; four investment-grade issuer ratings. Source: OTF Q2'26 10-Q Note 5; Q2'26 Earnings Presentation slide 14; Q1'26 10-Q</w:t>
      </w:r>
    </w:p>
    <w:p w14:paraId="6EB368F3" w14:textId="77777777" w:rsidR="00813CB8" w:rsidRPr="00312B84" w:rsidRDefault="002B4BED">
      <w:pPr>
        <w:spacing w:after="120"/>
        <w:ind w:left="200"/>
        <w:jc w:val="both"/>
        <w:rPr>
          <w:sz w:val="24"/>
          <w:szCs w:val="24"/>
        </w:rPr>
      </w:pPr>
      <w:r w:rsidRPr="00312B84">
        <w:rPr>
          <w:rFonts w:eastAsia="Calibri Light"/>
          <w:color w:val="000000"/>
          <w:sz w:val="24"/>
          <w:szCs w:val="24"/>
        </w:rPr>
        <w:t>The quarter's funding actions extended the curve: the $375mm June-2026 notes were repaid at maturity, replaced by $500mm of new 6.50% October-2029 notes, a new $150mm SPV facility V and a further $100mm draw on SPV IV. Maturities are light until 2028 — 2027 carries only $300mm — with the concentration in 2030 and beyond at $7.3bn of committed capacity, so refinancing pressure over the next 18 months is limited to the low-coupon January-2027 notes.</w:t>
      </w:r>
    </w:p>
    <w:p w14:paraId="6EB368F4" w14:textId="77777777" w:rsidR="00813CB8" w:rsidRPr="00312B84" w:rsidRDefault="002B4BED">
      <w:pPr>
        <w:pStyle w:val="3"/>
        <w:spacing w:before="200" w:after="100"/>
        <w:ind w:left="110"/>
        <w:rPr>
          <w:sz w:val="21"/>
          <w:szCs w:val="21"/>
        </w:rPr>
      </w:pPr>
      <w:r w:rsidRPr="00312B84">
        <w:rPr>
          <w:rFonts w:eastAsia="Calibri Light"/>
          <w:color w:val="001F5F"/>
          <w:sz w:val="28"/>
          <w:szCs w:val="28"/>
        </w:rPr>
        <w:t>Leverage ratio</w:t>
      </w:r>
    </w:p>
    <w:p w14:paraId="6EB368F5" w14:textId="77777777" w:rsidR="00813CB8" w:rsidRPr="00312B84" w:rsidRDefault="002B4BED">
      <w:pPr>
        <w:spacing w:after="120"/>
        <w:ind w:left="200"/>
        <w:jc w:val="both"/>
        <w:rPr>
          <w:sz w:val="24"/>
          <w:szCs w:val="24"/>
        </w:rPr>
      </w:pPr>
      <w:r w:rsidRPr="00312B84">
        <w:rPr>
          <w:rFonts w:eastAsia="Calibri Light"/>
          <w:color w:val="000000"/>
          <w:sz w:val="24"/>
          <w:szCs w:val="24"/>
        </w:rPr>
        <w:t>Net leverage ended Q2'26 at 0.93x, up from 0.85x in Q1'26 — the first quarter inside the management target range of 0.90x–1.25x since listing. The increase was deployment-led rather than write-down-led: $478mm of net funded investment activity was financed with the new unsecured notes and SPV draws while net assets were flat, and asset coverage remained comfortable at 203% against the 150% statutory floor, although down from 226% at year-end 2025. From here the fund retains roughly $2.4bn of debt capacity to the top of the target range, equivalent to about a third of current net assets, which is the principal forward driver of NII per share while base rates are flat. Symmetrically, the cushion to the regulatory floor is wide: net assets would have to absorb roughly $4.0bn of portfolio value decline, about 27%, before the 150% test binds.</w:t>
      </w:r>
    </w:p>
    <w:tbl>
      <w:tblPr>
        <w:tblW w:w="10244"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CellMar>
          <w:left w:w="10" w:type="dxa"/>
          <w:right w:w="10" w:type="dxa"/>
        </w:tblCellMar>
        <w:tblLook w:val="04A0" w:firstRow="1" w:lastRow="0" w:firstColumn="1" w:lastColumn="0" w:noHBand="0" w:noVBand="1"/>
      </w:tblPr>
      <w:tblGrid>
        <w:gridCol w:w="4097"/>
        <w:gridCol w:w="1844"/>
        <w:gridCol w:w="1844"/>
        <w:gridCol w:w="2459"/>
      </w:tblGrid>
      <w:tr w:rsidR="00813CB8" w:rsidRPr="00312B84" w14:paraId="6EB368FA" w14:textId="77777777">
        <w:trPr>
          <w:cantSplit/>
          <w:tblHeader/>
        </w:trPr>
        <w:tc>
          <w:tcPr>
            <w:tcW w:w="4097" w:type="dxa"/>
            <w:shd w:val="clear" w:color="auto" w:fill="1F3B5B"/>
            <w:tcMar>
              <w:top w:w="90" w:type="dxa"/>
              <w:left w:w="120" w:type="dxa"/>
              <w:bottom w:w="90" w:type="dxa"/>
              <w:right w:w="120" w:type="dxa"/>
            </w:tcMar>
            <w:vAlign w:val="center"/>
          </w:tcPr>
          <w:p w14:paraId="6EB368F6" w14:textId="77777777" w:rsidR="00813CB8" w:rsidRPr="00312B84" w:rsidRDefault="002B4BED">
            <w:pPr>
              <w:spacing w:after="40"/>
              <w:rPr>
                <w:sz w:val="24"/>
                <w:szCs w:val="24"/>
              </w:rPr>
            </w:pPr>
            <w:r w:rsidRPr="00312B84">
              <w:rPr>
                <w:rFonts w:ascii="Arial" w:eastAsia="Arial" w:hAnsi="Arial" w:cs="Arial"/>
                <w:b/>
                <w:bCs/>
                <w:color w:val="FFFFFF"/>
                <w:sz w:val="20"/>
                <w:szCs w:val="20"/>
              </w:rPr>
              <w:lastRenderedPageBreak/>
              <w:t>Leverage &amp; capital</w:t>
            </w:r>
          </w:p>
        </w:tc>
        <w:tc>
          <w:tcPr>
            <w:tcW w:w="1844" w:type="dxa"/>
            <w:shd w:val="clear" w:color="auto" w:fill="1F3B5B"/>
            <w:tcMar>
              <w:top w:w="90" w:type="dxa"/>
              <w:left w:w="120" w:type="dxa"/>
              <w:bottom w:w="90" w:type="dxa"/>
              <w:right w:w="120" w:type="dxa"/>
            </w:tcMar>
            <w:vAlign w:val="center"/>
          </w:tcPr>
          <w:p w14:paraId="6EB368F7" w14:textId="77777777" w:rsidR="00813CB8" w:rsidRPr="00312B84" w:rsidRDefault="002B4BED">
            <w:pPr>
              <w:spacing w:after="40"/>
              <w:jc w:val="center"/>
              <w:rPr>
                <w:sz w:val="24"/>
                <w:szCs w:val="24"/>
              </w:rPr>
            </w:pPr>
            <w:r w:rsidRPr="00312B84">
              <w:rPr>
                <w:rFonts w:ascii="Arial" w:eastAsia="Arial" w:hAnsi="Arial" w:cs="Arial"/>
                <w:b/>
                <w:bCs/>
                <w:color w:val="FFFFFF"/>
                <w:sz w:val="20"/>
                <w:szCs w:val="20"/>
              </w:rPr>
              <w:t>Q1'26</w:t>
            </w:r>
          </w:p>
        </w:tc>
        <w:tc>
          <w:tcPr>
            <w:tcW w:w="1844" w:type="dxa"/>
            <w:shd w:val="clear" w:color="auto" w:fill="1F3B5B"/>
            <w:tcMar>
              <w:top w:w="90" w:type="dxa"/>
              <w:left w:w="120" w:type="dxa"/>
              <w:bottom w:w="90" w:type="dxa"/>
              <w:right w:w="120" w:type="dxa"/>
            </w:tcMar>
            <w:vAlign w:val="center"/>
          </w:tcPr>
          <w:p w14:paraId="6EB368F8" w14:textId="77777777" w:rsidR="00813CB8" w:rsidRPr="00312B84" w:rsidRDefault="002B4BED">
            <w:pPr>
              <w:spacing w:after="40"/>
              <w:jc w:val="center"/>
              <w:rPr>
                <w:sz w:val="24"/>
                <w:szCs w:val="24"/>
              </w:rPr>
            </w:pPr>
            <w:r w:rsidRPr="00312B84">
              <w:rPr>
                <w:rFonts w:ascii="Arial" w:eastAsia="Arial" w:hAnsi="Arial" w:cs="Arial"/>
                <w:b/>
                <w:bCs/>
                <w:color w:val="FFFFFF"/>
                <w:sz w:val="20"/>
                <w:szCs w:val="20"/>
              </w:rPr>
              <w:t>Q2'26</w:t>
            </w:r>
          </w:p>
        </w:tc>
        <w:tc>
          <w:tcPr>
            <w:tcW w:w="2459" w:type="dxa"/>
            <w:shd w:val="clear" w:color="auto" w:fill="1F3B5B"/>
            <w:tcMar>
              <w:top w:w="90" w:type="dxa"/>
              <w:left w:w="120" w:type="dxa"/>
              <w:bottom w:w="90" w:type="dxa"/>
              <w:right w:w="120" w:type="dxa"/>
            </w:tcMar>
            <w:vAlign w:val="center"/>
          </w:tcPr>
          <w:p w14:paraId="6EB368F9" w14:textId="77777777" w:rsidR="00813CB8" w:rsidRPr="00312B84" w:rsidRDefault="002B4BED">
            <w:pPr>
              <w:spacing w:after="40"/>
              <w:jc w:val="center"/>
              <w:rPr>
                <w:sz w:val="24"/>
                <w:szCs w:val="24"/>
              </w:rPr>
            </w:pPr>
            <w:r w:rsidRPr="00312B84">
              <w:rPr>
                <w:rFonts w:ascii="Arial" w:eastAsia="Arial" w:hAnsi="Arial" w:cs="Arial"/>
                <w:b/>
                <w:bCs/>
                <w:color w:val="FFFFFF"/>
                <w:sz w:val="20"/>
                <w:szCs w:val="20"/>
              </w:rPr>
              <w:t>QoQ Chg</w:t>
            </w:r>
          </w:p>
        </w:tc>
      </w:tr>
      <w:tr w:rsidR="00813CB8" w:rsidRPr="00312B84" w14:paraId="6EB368FF" w14:textId="77777777">
        <w:trPr>
          <w:cantSplit/>
        </w:trPr>
        <w:tc>
          <w:tcPr>
            <w:tcW w:w="4097" w:type="dxa"/>
            <w:shd w:val="clear" w:color="auto" w:fill="EEF2F6"/>
            <w:tcMar>
              <w:top w:w="90" w:type="dxa"/>
              <w:left w:w="120" w:type="dxa"/>
              <w:bottom w:w="90" w:type="dxa"/>
              <w:right w:w="120" w:type="dxa"/>
            </w:tcMar>
            <w:vAlign w:val="center"/>
          </w:tcPr>
          <w:p w14:paraId="6EB368FB" w14:textId="77777777" w:rsidR="00813CB8" w:rsidRPr="00312B84" w:rsidRDefault="002B4BED">
            <w:pPr>
              <w:spacing w:after="40"/>
              <w:rPr>
                <w:sz w:val="24"/>
                <w:szCs w:val="24"/>
              </w:rPr>
            </w:pPr>
            <w:r w:rsidRPr="00312B84">
              <w:rPr>
                <w:rFonts w:ascii="Arial" w:eastAsia="Arial" w:hAnsi="Arial" w:cs="Arial"/>
                <w:color w:val="22303C"/>
                <w:sz w:val="20"/>
                <w:szCs w:val="20"/>
              </w:rPr>
              <w:t>Net leverage</w:t>
            </w:r>
          </w:p>
        </w:tc>
        <w:tc>
          <w:tcPr>
            <w:tcW w:w="1844" w:type="dxa"/>
            <w:tcMar>
              <w:top w:w="90" w:type="dxa"/>
              <w:left w:w="120" w:type="dxa"/>
              <w:bottom w:w="90" w:type="dxa"/>
              <w:right w:w="120" w:type="dxa"/>
            </w:tcMar>
            <w:vAlign w:val="center"/>
          </w:tcPr>
          <w:p w14:paraId="6EB368FC"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0.85x</w:t>
            </w:r>
          </w:p>
        </w:tc>
        <w:tc>
          <w:tcPr>
            <w:tcW w:w="1844" w:type="dxa"/>
            <w:tcMar>
              <w:top w:w="90" w:type="dxa"/>
              <w:left w:w="120" w:type="dxa"/>
              <w:bottom w:w="90" w:type="dxa"/>
              <w:right w:w="120" w:type="dxa"/>
            </w:tcMar>
            <w:vAlign w:val="center"/>
          </w:tcPr>
          <w:p w14:paraId="6EB368FD"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0.93x</w:t>
            </w:r>
          </w:p>
        </w:tc>
        <w:tc>
          <w:tcPr>
            <w:tcW w:w="2459" w:type="dxa"/>
            <w:tcMar>
              <w:top w:w="90" w:type="dxa"/>
              <w:left w:w="120" w:type="dxa"/>
              <w:bottom w:w="90" w:type="dxa"/>
              <w:right w:w="120" w:type="dxa"/>
            </w:tcMar>
            <w:vAlign w:val="center"/>
          </w:tcPr>
          <w:p w14:paraId="6EB368FE"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 +0.08x</w:t>
            </w:r>
          </w:p>
        </w:tc>
      </w:tr>
      <w:tr w:rsidR="00813CB8" w:rsidRPr="00312B84" w14:paraId="6EB36904" w14:textId="77777777">
        <w:trPr>
          <w:cantSplit/>
        </w:trPr>
        <w:tc>
          <w:tcPr>
            <w:tcW w:w="4097" w:type="dxa"/>
            <w:shd w:val="clear" w:color="auto" w:fill="EEF2F6"/>
            <w:tcMar>
              <w:top w:w="90" w:type="dxa"/>
              <w:left w:w="120" w:type="dxa"/>
              <w:bottom w:w="90" w:type="dxa"/>
              <w:right w:w="120" w:type="dxa"/>
            </w:tcMar>
            <w:vAlign w:val="center"/>
          </w:tcPr>
          <w:p w14:paraId="6EB36900" w14:textId="77777777" w:rsidR="00813CB8" w:rsidRPr="00312B84" w:rsidRDefault="002B4BED">
            <w:pPr>
              <w:spacing w:after="40"/>
              <w:rPr>
                <w:sz w:val="24"/>
                <w:szCs w:val="24"/>
              </w:rPr>
            </w:pPr>
            <w:r w:rsidRPr="00312B84">
              <w:rPr>
                <w:rFonts w:ascii="Arial" w:eastAsia="Arial" w:hAnsi="Arial" w:cs="Arial"/>
                <w:color w:val="22303C"/>
                <w:sz w:val="20"/>
                <w:szCs w:val="20"/>
              </w:rPr>
              <w:t>Management target range</w:t>
            </w:r>
          </w:p>
        </w:tc>
        <w:tc>
          <w:tcPr>
            <w:tcW w:w="1844" w:type="dxa"/>
            <w:tcMar>
              <w:top w:w="90" w:type="dxa"/>
              <w:left w:w="120" w:type="dxa"/>
              <w:bottom w:w="90" w:type="dxa"/>
              <w:right w:w="120" w:type="dxa"/>
            </w:tcMar>
            <w:vAlign w:val="center"/>
          </w:tcPr>
          <w:p w14:paraId="6EB36901"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0.90–1.25x</w:t>
            </w:r>
          </w:p>
        </w:tc>
        <w:tc>
          <w:tcPr>
            <w:tcW w:w="1844" w:type="dxa"/>
            <w:tcMar>
              <w:top w:w="90" w:type="dxa"/>
              <w:left w:w="120" w:type="dxa"/>
              <w:bottom w:w="90" w:type="dxa"/>
              <w:right w:w="120" w:type="dxa"/>
            </w:tcMar>
            <w:vAlign w:val="center"/>
          </w:tcPr>
          <w:p w14:paraId="6EB36902"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0.90–1.25x</w:t>
            </w:r>
          </w:p>
        </w:tc>
        <w:tc>
          <w:tcPr>
            <w:tcW w:w="2459" w:type="dxa"/>
            <w:tcMar>
              <w:top w:w="90" w:type="dxa"/>
              <w:left w:w="120" w:type="dxa"/>
              <w:bottom w:w="90" w:type="dxa"/>
              <w:right w:w="120" w:type="dxa"/>
            </w:tcMar>
            <w:vAlign w:val="center"/>
          </w:tcPr>
          <w:p w14:paraId="6EB36903"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w:t>
            </w:r>
          </w:p>
        </w:tc>
      </w:tr>
      <w:tr w:rsidR="00813CB8" w:rsidRPr="00312B84" w14:paraId="6EB36909" w14:textId="77777777">
        <w:trPr>
          <w:cantSplit/>
        </w:trPr>
        <w:tc>
          <w:tcPr>
            <w:tcW w:w="4097" w:type="dxa"/>
            <w:shd w:val="clear" w:color="auto" w:fill="EEF2F6"/>
            <w:tcMar>
              <w:top w:w="90" w:type="dxa"/>
              <w:left w:w="120" w:type="dxa"/>
              <w:bottom w:w="90" w:type="dxa"/>
              <w:right w:w="120" w:type="dxa"/>
            </w:tcMar>
            <w:vAlign w:val="center"/>
          </w:tcPr>
          <w:p w14:paraId="6EB36905" w14:textId="77777777" w:rsidR="00813CB8" w:rsidRPr="00312B84" w:rsidRDefault="002B4BED">
            <w:pPr>
              <w:spacing w:after="40"/>
              <w:rPr>
                <w:sz w:val="24"/>
                <w:szCs w:val="24"/>
              </w:rPr>
            </w:pPr>
            <w:r w:rsidRPr="00312B84">
              <w:rPr>
                <w:rFonts w:ascii="Arial" w:eastAsia="Arial" w:hAnsi="Arial" w:cs="Arial"/>
                <w:color w:val="22303C"/>
                <w:sz w:val="20"/>
                <w:szCs w:val="20"/>
              </w:rPr>
              <w:t>Asset coverage ratio — statutory floor 150%</w:t>
            </w:r>
          </w:p>
        </w:tc>
        <w:tc>
          <w:tcPr>
            <w:tcW w:w="1844" w:type="dxa"/>
            <w:tcMar>
              <w:top w:w="90" w:type="dxa"/>
              <w:left w:w="120" w:type="dxa"/>
              <w:bottom w:w="90" w:type="dxa"/>
              <w:right w:w="120" w:type="dxa"/>
            </w:tcMar>
            <w:vAlign w:val="center"/>
          </w:tcPr>
          <w:p w14:paraId="6EB36906"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226% (12/31/25)</w:t>
            </w:r>
          </w:p>
        </w:tc>
        <w:tc>
          <w:tcPr>
            <w:tcW w:w="1844" w:type="dxa"/>
            <w:tcMar>
              <w:top w:w="90" w:type="dxa"/>
              <w:left w:w="120" w:type="dxa"/>
              <w:bottom w:w="90" w:type="dxa"/>
              <w:right w:w="120" w:type="dxa"/>
            </w:tcMar>
            <w:vAlign w:val="center"/>
          </w:tcPr>
          <w:p w14:paraId="6EB36907"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203%</w:t>
            </w:r>
          </w:p>
        </w:tc>
        <w:tc>
          <w:tcPr>
            <w:tcW w:w="2459" w:type="dxa"/>
            <w:tcMar>
              <w:top w:w="90" w:type="dxa"/>
              <w:left w:w="120" w:type="dxa"/>
              <w:bottom w:w="90" w:type="dxa"/>
              <w:right w:w="120" w:type="dxa"/>
            </w:tcMar>
            <w:vAlign w:val="center"/>
          </w:tcPr>
          <w:p w14:paraId="6EB36908"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w:t>
            </w:r>
          </w:p>
        </w:tc>
      </w:tr>
      <w:tr w:rsidR="00813CB8" w:rsidRPr="00312B84" w14:paraId="6EB3690E" w14:textId="77777777">
        <w:trPr>
          <w:cantSplit/>
        </w:trPr>
        <w:tc>
          <w:tcPr>
            <w:tcW w:w="4097" w:type="dxa"/>
            <w:shd w:val="clear" w:color="auto" w:fill="EEF2F6"/>
            <w:tcMar>
              <w:top w:w="90" w:type="dxa"/>
              <w:left w:w="120" w:type="dxa"/>
              <w:bottom w:w="90" w:type="dxa"/>
              <w:right w:w="120" w:type="dxa"/>
            </w:tcMar>
            <w:vAlign w:val="center"/>
          </w:tcPr>
          <w:p w14:paraId="6EB3690A" w14:textId="77777777" w:rsidR="00813CB8" w:rsidRPr="00312B84" w:rsidRDefault="002B4BED">
            <w:pPr>
              <w:spacing w:after="40"/>
              <w:rPr>
                <w:sz w:val="24"/>
                <w:szCs w:val="24"/>
              </w:rPr>
            </w:pPr>
            <w:r w:rsidRPr="00312B84">
              <w:rPr>
                <w:rFonts w:ascii="Arial" w:eastAsia="Arial" w:hAnsi="Arial" w:cs="Arial"/>
                <w:color w:val="22303C"/>
                <w:sz w:val="20"/>
                <w:szCs w:val="20"/>
              </w:rPr>
              <w:t>Debt capacity to 1.25x target ceiling</w:t>
            </w:r>
          </w:p>
        </w:tc>
        <w:tc>
          <w:tcPr>
            <w:tcW w:w="1844" w:type="dxa"/>
            <w:tcMar>
              <w:top w:w="90" w:type="dxa"/>
              <w:left w:w="120" w:type="dxa"/>
              <w:bottom w:w="90" w:type="dxa"/>
              <w:right w:w="120" w:type="dxa"/>
            </w:tcMar>
            <w:vAlign w:val="center"/>
          </w:tcPr>
          <w:p w14:paraId="6EB3690B" w14:textId="77777777" w:rsidR="00813CB8" w:rsidRPr="00312B84" w:rsidRDefault="00813CB8">
            <w:pPr>
              <w:spacing w:after="40"/>
              <w:jc w:val="center"/>
              <w:rPr>
                <w:sz w:val="24"/>
                <w:szCs w:val="24"/>
              </w:rPr>
            </w:pPr>
          </w:p>
        </w:tc>
        <w:tc>
          <w:tcPr>
            <w:tcW w:w="1844" w:type="dxa"/>
            <w:tcMar>
              <w:top w:w="90" w:type="dxa"/>
              <w:left w:w="120" w:type="dxa"/>
              <w:bottom w:w="90" w:type="dxa"/>
              <w:right w:w="120" w:type="dxa"/>
            </w:tcMar>
            <w:vAlign w:val="center"/>
          </w:tcPr>
          <w:p w14:paraId="6EB3690C"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~$2.4bn</w:t>
            </w:r>
          </w:p>
        </w:tc>
        <w:tc>
          <w:tcPr>
            <w:tcW w:w="2459" w:type="dxa"/>
            <w:tcMar>
              <w:top w:w="90" w:type="dxa"/>
              <w:left w:w="120" w:type="dxa"/>
              <w:bottom w:w="90" w:type="dxa"/>
              <w:right w:w="120" w:type="dxa"/>
            </w:tcMar>
            <w:vAlign w:val="center"/>
          </w:tcPr>
          <w:p w14:paraId="6EB3690D" w14:textId="77777777" w:rsidR="00813CB8" w:rsidRPr="00312B84" w:rsidRDefault="00813CB8">
            <w:pPr>
              <w:spacing w:after="40"/>
              <w:jc w:val="center"/>
              <w:rPr>
                <w:sz w:val="24"/>
                <w:szCs w:val="24"/>
              </w:rPr>
            </w:pPr>
          </w:p>
        </w:tc>
      </w:tr>
      <w:tr w:rsidR="00813CB8" w:rsidRPr="00312B84" w14:paraId="6EB36913" w14:textId="77777777">
        <w:trPr>
          <w:cantSplit/>
        </w:trPr>
        <w:tc>
          <w:tcPr>
            <w:tcW w:w="4097" w:type="dxa"/>
            <w:shd w:val="clear" w:color="auto" w:fill="EEF2F6"/>
            <w:tcMar>
              <w:top w:w="90" w:type="dxa"/>
              <w:left w:w="120" w:type="dxa"/>
              <w:bottom w:w="90" w:type="dxa"/>
              <w:right w:w="120" w:type="dxa"/>
            </w:tcMar>
            <w:vAlign w:val="center"/>
          </w:tcPr>
          <w:p w14:paraId="6EB3690F" w14:textId="77777777" w:rsidR="00813CB8" w:rsidRPr="00312B84" w:rsidRDefault="002B4BED">
            <w:pPr>
              <w:spacing w:after="40"/>
              <w:rPr>
                <w:sz w:val="24"/>
                <w:szCs w:val="24"/>
              </w:rPr>
            </w:pPr>
            <w:r w:rsidRPr="00312B84">
              <w:rPr>
                <w:rFonts w:ascii="Arial" w:eastAsia="Arial" w:hAnsi="Arial" w:cs="Arial"/>
                <w:color w:val="22303C"/>
                <w:sz w:val="20"/>
                <w:szCs w:val="20"/>
              </w:rPr>
              <w:t>Portfolio decline absorbed before 150% floor</w:t>
            </w:r>
          </w:p>
        </w:tc>
        <w:tc>
          <w:tcPr>
            <w:tcW w:w="1844" w:type="dxa"/>
            <w:tcMar>
              <w:top w:w="90" w:type="dxa"/>
              <w:left w:w="120" w:type="dxa"/>
              <w:bottom w:w="90" w:type="dxa"/>
              <w:right w:w="120" w:type="dxa"/>
            </w:tcMar>
            <w:vAlign w:val="center"/>
          </w:tcPr>
          <w:p w14:paraId="6EB36910" w14:textId="77777777" w:rsidR="00813CB8" w:rsidRPr="00312B84" w:rsidRDefault="00813CB8">
            <w:pPr>
              <w:spacing w:after="40"/>
              <w:jc w:val="center"/>
              <w:rPr>
                <w:sz w:val="24"/>
                <w:szCs w:val="24"/>
              </w:rPr>
            </w:pPr>
          </w:p>
        </w:tc>
        <w:tc>
          <w:tcPr>
            <w:tcW w:w="1844" w:type="dxa"/>
            <w:tcMar>
              <w:top w:w="90" w:type="dxa"/>
              <w:left w:w="120" w:type="dxa"/>
              <w:bottom w:w="90" w:type="dxa"/>
              <w:right w:w="120" w:type="dxa"/>
            </w:tcMar>
            <w:vAlign w:val="center"/>
          </w:tcPr>
          <w:p w14:paraId="6EB36911"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~$4.0bn / ~27%</w:t>
            </w:r>
          </w:p>
        </w:tc>
        <w:tc>
          <w:tcPr>
            <w:tcW w:w="2459" w:type="dxa"/>
            <w:tcMar>
              <w:top w:w="90" w:type="dxa"/>
              <w:left w:w="120" w:type="dxa"/>
              <w:bottom w:w="90" w:type="dxa"/>
              <w:right w:w="120" w:type="dxa"/>
            </w:tcMar>
            <w:vAlign w:val="center"/>
          </w:tcPr>
          <w:p w14:paraId="6EB36912" w14:textId="77777777" w:rsidR="00813CB8" w:rsidRPr="00312B84" w:rsidRDefault="00813CB8">
            <w:pPr>
              <w:spacing w:after="40"/>
              <w:jc w:val="center"/>
              <w:rPr>
                <w:sz w:val="24"/>
                <w:szCs w:val="24"/>
              </w:rPr>
            </w:pPr>
          </w:p>
        </w:tc>
      </w:tr>
    </w:tbl>
    <w:p w14:paraId="6EB36914" w14:textId="77777777" w:rsidR="00813CB8" w:rsidRPr="00312B84" w:rsidRDefault="002B4BED">
      <w:pPr>
        <w:spacing w:after="200"/>
        <w:ind w:left="200"/>
        <w:rPr>
          <w:sz w:val="24"/>
          <w:szCs w:val="24"/>
        </w:rPr>
      </w:pPr>
      <w:r w:rsidRPr="00312B84">
        <w:rPr>
          <w:rFonts w:ascii="Arial" w:eastAsia="Arial" w:hAnsi="Arial" w:cs="Arial"/>
          <w:i/>
          <w:iCs/>
          <w:color w:val="5A6B7B"/>
          <w:sz w:val="13"/>
          <w:szCs w:val="13"/>
        </w:rPr>
        <w:t>Asset coverage comparative is the year-end 2025 disclosure; the buffer to the 150% floor is computed from Q2'26 net assets of $7,540mm and debt of $7,158mm carrying value. Source: OTF Q2'26 10-Q liquidity &amp; capital resources; Q2'26 Earnings Presentation</w:t>
      </w:r>
    </w:p>
    <w:p w14:paraId="6EB36915" w14:textId="77777777" w:rsidR="00813CB8" w:rsidRPr="00312B84" w:rsidRDefault="002B4BED">
      <w:pPr>
        <w:pStyle w:val="2"/>
        <w:spacing w:before="560" w:after="140"/>
        <w:rPr>
          <w:sz w:val="22"/>
          <w:szCs w:val="22"/>
        </w:rPr>
      </w:pPr>
      <w:r w:rsidRPr="00312B84">
        <w:rPr>
          <w:rFonts w:eastAsia="Calibri Light"/>
          <w:color w:val="001F5F"/>
          <w:sz w:val="40"/>
          <w:szCs w:val="40"/>
        </w:rPr>
        <w:t>2.3 Default concern</w:t>
      </w:r>
    </w:p>
    <w:p w14:paraId="6EB36916" w14:textId="77777777" w:rsidR="00813CB8" w:rsidRPr="00312B84" w:rsidRDefault="002B4BED">
      <w:pPr>
        <w:pStyle w:val="3"/>
        <w:spacing w:before="200" w:after="100"/>
        <w:ind w:left="110"/>
        <w:rPr>
          <w:color w:val="001F5F"/>
          <w:sz w:val="28"/>
          <w:szCs w:val="28"/>
        </w:rPr>
      </w:pPr>
      <w:r w:rsidRPr="00312B84">
        <w:rPr>
          <w:rFonts w:eastAsia="Calibri Light"/>
          <w:color w:val="001F5F"/>
          <w:sz w:val="28"/>
          <w:szCs w:val="28"/>
        </w:rPr>
        <w:t>PIK</w:t>
      </w:r>
    </w:p>
    <w:p w14:paraId="6B34775A" w14:textId="1AAA9EFF" w:rsidR="00946B7D" w:rsidRPr="00312B84" w:rsidRDefault="00946B7D" w:rsidP="00946B7D">
      <w:pPr>
        <w:rPr>
          <w:color w:val="FF0000"/>
          <w:sz w:val="24"/>
          <w:szCs w:val="24"/>
        </w:rPr>
      </w:pPr>
      <w:r w:rsidRPr="00312B84">
        <w:rPr>
          <w:rFonts w:hint="eastAsia"/>
          <w:color w:val="FF0000"/>
          <w:sz w:val="24"/>
          <w:szCs w:val="24"/>
        </w:rPr>
        <w:t>之后的可以把括号里的删了</w:t>
      </w:r>
    </w:p>
    <w:p w14:paraId="0A185CB5" w14:textId="4FA64BA0" w:rsidR="0058676C" w:rsidRPr="00312B84" w:rsidRDefault="0058676C" w:rsidP="0058676C">
      <w:pPr>
        <w:spacing w:before="120" w:after="160"/>
        <w:jc w:val="center"/>
        <w:rPr>
          <w:sz w:val="24"/>
          <w:szCs w:val="24"/>
          <w:lang w:val="en-HK"/>
        </w:rPr>
      </w:pPr>
      <w:r w:rsidRPr="00312B84">
        <w:rPr>
          <w:noProof/>
          <w:sz w:val="24"/>
          <w:szCs w:val="24"/>
          <w:lang w:val="en-HK"/>
        </w:rPr>
        <w:drawing>
          <wp:inline distT="0" distB="0" distL="0" distR="0" wp14:anchorId="5776F817" wp14:editId="6FCDE501">
            <wp:extent cx="6504940" cy="2593838"/>
            <wp:effectExtent l="0" t="0" r="7620" b="0"/>
            <wp:docPr id="2090924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504940" cy="2593838"/>
                    </a:xfrm>
                    <a:prstGeom prst="rect">
                      <a:avLst/>
                    </a:prstGeom>
                    <a:noFill/>
                    <a:ln>
                      <a:noFill/>
                    </a:ln>
                  </pic:spPr>
                </pic:pic>
              </a:graphicData>
            </a:graphic>
          </wp:inline>
        </w:drawing>
      </w:r>
    </w:p>
    <w:p w14:paraId="6EB36917" w14:textId="3199D946" w:rsidR="00813CB8" w:rsidRPr="00312B84" w:rsidRDefault="00813CB8">
      <w:pPr>
        <w:spacing w:before="120" w:after="160"/>
        <w:jc w:val="center"/>
        <w:rPr>
          <w:sz w:val="24"/>
          <w:szCs w:val="24"/>
        </w:rPr>
      </w:pPr>
    </w:p>
    <w:p w14:paraId="6EB36918" w14:textId="77777777" w:rsidR="00813CB8" w:rsidRPr="00312B84" w:rsidRDefault="002B4BED">
      <w:pPr>
        <w:spacing w:after="120"/>
        <w:ind w:left="200"/>
        <w:jc w:val="both"/>
        <w:rPr>
          <w:sz w:val="24"/>
          <w:szCs w:val="24"/>
        </w:rPr>
      </w:pPr>
      <w:r w:rsidRPr="00312B84">
        <w:rPr>
          <w:rFonts w:eastAsia="Calibri Light"/>
          <w:color w:val="000000"/>
          <w:sz w:val="24"/>
          <w:szCs w:val="24"/>
        </w:rPr>
        <w:t>PIK income was 12.5% of total investment income, down 0.6pp QoQ and the second consecutive decline; per the earnings call roughly 98% of it was structured at original underwriting rather than amendment-driven, though the level remains about twice the 6.4% BDC sector average.</w:t>
      </w:r>
    </w:p>
    <w:p w14:paraId="6EB36919" w14:textId="77777777" w:rsidR="00813CB8" w:rsidRPr="00312B84" w:rsidRDefault="002B4BED">
      <w:pPr>
        <w:pStyle w:val="3"/>
        <w:spacing w:before="200" w:after="100"/>
        <w:ind w:left="110"/>
        <w:rPr>
          <w:sz w:val="21"/>
          <w:szCs w:val="21"/>
        </w:rPr>
      </w:pPr>
      <w:r w:rsidRPr="00312B84">
        <w:rPr>
          <w:rFonts w:eastAsia="Calibri Light"/>
          <w:color w:val="001F5F"/>
          <w:sz w:val="28"/>
          <w:szCs w:val="28"/>
        </w:rPr>
        <w:t>Non-accrual</w:t>
      </w:r>
    </w:p>
    <w:p w14:paraId="6EB3691A" w14:textId="44B7BC7C" w:rsidR="00813CB8" w:rsidRPr="00312B84" w:rsidRDefault="00636FA1">
      <w:pPr>
        <w:spacing w:before="120" w:after="160"/>
        <w:jc w:val="center"/>
        <w:rPr>
          <w:sz w:val="24"/>
          <w:szCs w:val="24"/>
          <w:lang w:val="en-HK"/>
        </w:rPr>
      </w:pPr>
      <w:r w:rsidRPr="00312B84">
        <w:rPr>
          <w:noProof/>
          <w:sz w:val="24"/>
          <w:szCs w:val="24"/>
          <w:lang w:val="en-HK"/>
        </w:rPr>
        <w:lastRenderedPageBreak/>
        <w:drawing>
          <wp:inline distT="0" distB="0" distL="0" distR="0" wp14:anchorId="35BF20B2" wp14:editId="25A2C0DF">
            <wp:extent cx="6504940" cy="2645546"/>
            <wp:effectExtent l="0" t="0" r="7620" b="0"/>
            <wp:docPr id="1160209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504940" cy="2645546"/>
                    </a:xfrm>
                    <a:prstGeom prst="rect">
                      <a:avLst/>
                    </a:prstGeom>
                    <a:noFill/>
                    <a:ln>
                      <a:noFill/>
                    </a:ln>
                  </pic:spPr>
                </pic:pic>
              </a:graphicData>
            </a:graphic>
          </wp:inline>
        </w:drawing>
      </w:r>
    </w:p>
    <w:p w14:paraId="6EB3691B" w14:textId="77777777" w:rsidR="00813CB8" w:rsidRPr="00312B84" w:rsidRDefault="002B4BED">
      <w:pPr>
        <w:spacing w:after="120"/>
        <w:ind w:left="200"/>
        <w:jc w:val="both"/>
        <w:rPr>
          <w:sz w:val="24"/>
          <w:szCs w:val="24"/>
        </w:rPr>
      </w:pPr>
      <w:r w:rsidRPr="00312B84">
        <w:rPr>
          <w:rFonts w:eastAsia="Calibri Light"/>
          <w:color w:val="000000"/>
          <w:sz w:val="24"/>
          <w:szCs w:val="24"/>
        </w:rPr>
        <w:t>Non-accruals rose to 0.6% of cost from 0.3%, on one small addition — a software preferred position of roughly $53mm at cost — against one exit, leaving two issuers and about $20mm of fair value, or 0.1% of the portfolio, unchanged QoQ and a fraction of the 2.8% sector average.</w:t>
      </w:r>
    </w:p>
    <w:p w14:paraId="6EB3691C" w14:textId="77777777" w:rsidR="00813CB8" w:rsidRPr="00312B84" w:rsidRDefault="002B4BED">
      <w:pPr>
        <w:pStyle w:val="3"/>
        <w:spacing w:before="200" w:after="100"/>
        <w:ind w:left="110"/>
        <w:rPr>
          <w:sz w:val="21"/>
          <w:szCs w:val="21"/>
        </w:rPr>
      </w:pPr>
      <w:r w:rsidRPr="00312B84">
        <w:rPr>
          <w:rFonts w:eastAsia="Calibri Light"/>
          <w:color w:val="001F5F"/>
          <w:sz w:val="28"/>
          <w:szCs w:val="28"/>
        </w:rPr>
        <w:t>Internal risk rating</w:t>
      </w:r>
    </w:p>
    <w:p w14:paraId="6EB3691D" w14:textId="77777777" w:rsidR="00813CB8" w:rsidRPr="00312B84" w:rsidRDefault="002B4BED">
      <w:pPr>
        <w:spacing w:before="120" w:after="160"/>
        <w:jc w:val="center"/>
        <w:rPr>
          <w:sz w:val="24"/>
          <w:szCs w:val="24"/>
        </w:rPr>
      </w:pPr>
      <w:r w:rsidRPr="00312B84">
        <w:rPr>
          <w:noProof/>
          <w:sz w:val="24"/>
          <w:szCs w:val="24"/>
        </w:rPr>
        <w:drawing>
          <wp:inline distT="0" distB="0" distL="0" distR="0" wp14:anchorId="6EB36AA3" wp14:editId="6EB36AA4">
            <wp:extent cx="6503669" cy="3700034"/>
            <wp:effectExtent l="0" t="0" r="0" b="0"/>
            <wp:docPr id="1877170146" name="图片 187717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503669" cy="3700034"/>
                    </a:xfrm>
                    <a:prstGeom prst="rect">
                      <a:avLst/>
                    </a:prstGeom>
                  </pic:spPr>
                </pic:pic>
              </a:graphicData>
            </a:graphic>
          </wp:inline>
        </w:drawing>
      </w:r>
    </w:p>
    <w:p w14:paraId="6EB3691E" w14:textId="77777777" w:rsidR="00813CB8" w:rsidRPr="00312B84" w:rsidRDefault="002B4BED">
      <w:pPr>
        <w:spacing w:after="120"/>
        <w:ind w:left="200"/>
        <w:jc w:val="both"/>
        <w:rPr>
          <w:sz w:val="24"/>
          <w:szCs w:val="24"/>
        </w:rPr>
      </w:pPr>
      <w:r w:rsidRPr="00312B84">
        <w:rPr>
          <w:rFonts w:eastAsia="Calibri Light"/>
          <w:color w:val="000000"/>
          <w:sz w:val="24"/>
          <w:szCs w:val="24"/>
        </w:rPr>
        <w:t>Ratings 4+5 were 0.5% of fair value, up 0.2pp QoQ, while rating 3 improved 1.1pp to 7.1% — leaving 92.4% of the book rated 1 or 2, up 0.9pp.</w:t>
      </w:r>
    </w:p>
    <w:p w14:paraId="6EB3691F" w14:textId="77777777" w:rsidR="00813CB8" w:rsidRPr="00312B84" w:rsidRDefault="002B4BED">
      <w:pPr>
        <w:pStyle w:val="2"/>
        <w:spacing w:before="560" w:after="140"/>
        <w:rPr>
          <w:sz w:val="22"/>
          <w:szCs w:val="22"/>
        </w:rPr>
      </w:pPr>
      <w:r w:rsidRPr="00312B84">
        <w:rPr>
          <w:rFonts w:eastAsia="Calibri Light"/>
          <w:color w:val="001F5F"/>
          <w:sz w:val="40"/>
          <w:szCs w:val="40"/>
        </w:rPr>
        <w:t>2.4 Sell-side view &amp; TP</w:t>
      </w:r>
    </w:p>
    <w:p w14:paraId="6EB36920"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 xml:space="preserve">BofA maintained Neutral with an unchanged $11.50 price objective at ~0.7x NAV after Q2 results, having cut from $14.00 in May. The house titled the quarter Stable — NAV flat at $16.48 and portfolio yield up 10bp to 9.3% — after Q1's Challenging quarter framing, so the negative-revision cycle paused. Adjusted core EPS of $0.30 rose 3% QoQ, one cent below the $0.31 consensus but above the broker's </w:t>
      </w:r>
      <w:r w:rsidRPr="00312B84">
        <w:rPr>
          <w:rFonts w:eastAsia="Calibri Light"/>
          <w:color w:val="000000"/>
          <w:sz w:val="24"/>
          <w:szCs w:val="24"/>
        </w:rPr>
        <w:lastRenderedPageBreak/>
        <w:t>own $0.28 on stronger interest and dividend income; standing core EPS estimates for 2026 and 2027 remain $1.21 and $1.26 with no new revision published. On credit the note counts non-accruals of 0.6% at cost across two issuers — one software addition, one exit — among the lowest in the industry, and flags PIK declining to 12.5% of revenue, substantially all original-underwrite. The core argument for staying at Neutral despite the discount: credit is pristine and the outlook slowly improving, but core profitability will lag peers for the near future given significant excess capital. Versus last quarter the rating, objective and multiple are unchanged and the tone shifted from yield-pressure caution to stabilization.</w:t>
      </w:r>
    </w:p>
    <w:tbl>
      <w:tblPr>
        <w:tblW w:w="10244"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CellMar>
          <w:left w:w="10" w:type="dxa"/>
          <w:right w:w="10" w:type="dxa"/>
        </w:tblCellMar>
        <w:tblLook w:val="04A0" w:firstRow="1" w:lastRow="0" w:firstColumn="1" w:lastColumn="0" w:noHBand="0" w:noVBand="1"/>
      </w:tblPr>
      <w:tblGrid>
        <w:gridCol w:w="1639"/>
        <w:gridCol w:w="2151"/>
        <w:gridCol w:w="2151"/>
        <w:gridCol w:w="2151"/>
        <w:gridCol w:w="2152"/>
      </w:tblGrid>
      <w:tr w:rsidR="00813CB8" w:rsidRPr="00312B84" w14:paraId="6EB36926" w14:textId="77777777">
        <w:trPr>
          <w:cantSplit/>
          <w:tblHeader/>
        </w:trPr>
        <w:tc>
          <w:tcPr>
            <w:tcW w:w="1639" w:type="dxa"/>
            <w:shd w:val="clear" w:color="auto" w:fill="1F3B5B"/>
            <w:tcMar>
              <w:top w:w="90" w:type="dxa"/>
              <w:left w:w="120" w:type="dxa"/>
              <w:bottom w:w="90" w:type="dxa"/>
              <w:right w:w="120" w:type="dxa"/>
            </w:tcMar>
            <w:vAlign w:val="center"/>
          </w:tcPr>
          <w:p w14:paraId="6EB36921" w14:textId="77777777" w:rsidR="00813CB8" w:rsidRPr="00312B84" w:rsidRDefault="00813CB8">
            <w:pPr>
              <w:spacing w:after="40"/>
              <w:rPr>
                <w:sz w:val="24"/>
                <w:szCs w:val="24"/>
              </w:rPr>
            </w:pPr>
          </w:p>
        </w:tc>
        <w:tc>
          <w:tcPr>
            <w:tcW w:w="2151" w:type="dxa"/>
            <w:shd w:val="clear" w:color="auto" w:fill="1F3B5B"/>
            <w:tcMar>
              <w:top w:w="90" w:type="dxa"/>
              <w:left w:w="120" w:type="dxa"/>
              <w:bottom w:w="90" w:type="dxa"/>
              <w:right w:w="120" w:type="dxa"/>
            </w:tcMar>
            <w:vAlign w:val="center"/>
          </w:tcPr>
          <w:p w14:paraId="6EB36922" w14:textId="77777777" w:rsidR="00813CB8" w:rsidRPr="00312B84" w:rsidRDefault="002B4BED">
            <w:pPr>
              <w:spacing w:after="40"/>
              <w:jc w:val="center"/>
              <w:rPr>
                <w:sz w:val="24"/>
                <w:szCs w:val="24"/>
              </w:rPr>
            </w:pPr>
            <w:r w:rsidRPr="00312B84">
              <w:rPr>
                <w:rFonts w:ascii="Arial" w:eastAsia="Arial" w:hAnsi="Arial" w:cs="Arial"/>
                <w:b/>
                <w:bCs/>
                <w:color w:val="FFFFFF"/>
                <w:sz w:val="16"/>
                <w:szCs w:val="16"/>
              </w:rPr>
              <w:t>BofA</w:t>
            </w:r>
          </w:p>
        </w:tc>
        <w:tc>
          <w:tcPr>
            <w:tcW w:w="2151" w:type="dxa"/>
            <w:shd w:val="clear" w:color="auto" w:fill="1F3B5B"/>
            <w:tcMar>
              <w:top w:w="90" w:type="dxa"/>
              <w:left w:w="120" w:type="dxa"/>
              <w:bottom w:w="90" w:type="dxa"/>
              <w:right w:w="120" w:type="dxa"/>
            </w:tcMar>
            <w:vAlign w:val="center"/>
          </w:tcPr>
          <w:p w14:paraId="6EB36923" w14:textId="77777777" w:rsidR="00813CB8" w:rsidRPr="00312B84" w:rsidRDefault="002B4BED">
            <w:pPr>
              <w:spacing w:after="40"/>
              <w:jc w:val="center"/>
              <w:rPr>
                <w:sz w:val="24"/>
                <w:szCs w:val="24"/>
              </w:rPr>
            </w:pPr>
            <w:r w:rsidRPr="00312B84">
              <w:rPr>
                <w:rFonts w:ascii="Arial" w:eastAsia="Arial" w:hAnsi="Arial" w:cs="Arial"/>
                <w:b/>
                <w:bCs/>
                <w:color w:val="FFFFFF"/>
                <w:sz w:val="16"/>
                <w:szCs w:val="16"/>
              </w:rPr>
              <w:t>Citizens JMP</w:t>
            </w:r>
          </w:p>
        </w:tc>
        <w:tc>
          <w:tcPr>
            <w:tcW w:w="2151" w:type="dxa"/>
            <w:shd w:val="clear" w:color="auto" w:fill="1F3B5B"/>
            <w:tcMar>
              <w:top w:w="90" w:type="dxa"/>
              <w:left w:w="120" w:type="dxa"/>
              <w:bottom w:w="90" w:type="dxa"/>
              <w:right w:w="120" w:type="dxa"/>
            </w:tcMar>
            <w:vAlign w:val="center"/>
          </w:tcPr>
          <w:p w14:paraId="6EB36924" w14:textId="77777777" w:rsidR="00813CB8" w:rsidRPr="00312B84" w:rsidRDefault="002B4BED">
            <w:pPr>
              <w:spacing w:after="40"/>
              <w:jc w:val="center"/>
              <w:rPr>
                <w:sz w:val="24"/>
                <w:szCs w:val="24"/>
              </w:rPr>
            </w:pPr>
            <w:r w:rsidRPr="00312B84">
              <w:rPr>
                <w:rFonts w:ascii="Arial" w:eastAsia="Arial" w:hAnsi="Arial" w:cs="Arial"/>
                <w:b/>
                <w:bCs/>
                <w:color w:val="FFFFFF"/>
                <w:sz w:val="16"/>
                <w:szCs w:val="16"/>
              </w:rPr>
              <w:t>Wells Fargo</w:t>
            </w:r>
          </w:p>
        </w:tc>
        <w:tc>
          <w:tcPr>
            <w:tcW w:w="2152" w:type="dxa"/>
            <w:shd w:val="clear" w:color="auto" w:fill="1F3B5B"/>
            <w:tcMar>
              <w:top w:w="90" w:type="dxa"/>
              <w:left w:w="120" w:type="dxa"/>
              <w:bottom w:w="90" w:type="dxa"/>
              <w:right w:w="120" w:type="dxa"/>
            </w:tcMar>
            <w:vAlign w:val="center"/>
          </w:tcPr>
          <w:p w14:paraId="6EB36925" w14:textId="77777777" w:rsidR="00813CB8" w:rsidRPr="00312B84" w:rsidRDefault="002B4BED">
            <w:pPr>
              <w:spacing w:after="40"/>
              <w:jc w:val="center"/>
              <w:rPr>
                <w:sz w:val="24"/>
                <w:szCs w:val="24"/>
              </w:rPr>
            </w:pPr>
            <w:r w:rsidRPr="00312B84">
              <w:rPr>
                <w:rFonts w:ascii="Arial" w:eastAsia="Arial" w:hAnsi="Arial" w:cs="Arial"/>
                <w:b/>
                <w:bCs/>
                <w:color w:val="FFFFFF"/>
                <w:sz w:val="16"/>
                <w:szCs w:val="16"/>
              </w:rPr>
              <w:t>Truist</w:t>
            </w:r>
          </w:p>
        </w:tc>
      </w:tr>
      <w:tr w:rsidR="00813CB8" w:rsidRPr="00312B84" w14:paraId="6EB3692C" w14:textId="77777777">
        <w:trPr>
          <w:cantSplit/>
        </w:trPr>
        <w:tc>
          <w:tcPr>
            <w:tcW w:w="1639" w:type="dxa"/>
            <w:shd w:val="clear" w:color="auto" w:fill="EEF2F6"/>
            <w:tcMar>
              <w:top w:w="90" w:type="dxa"/>
              <w:left w:w="120" w:type="dxa"/>
              <w:bottom w:w="90" w:type="dxa"/>
              <w:right w:w="120" w:type="dxa"/>
            </w:tcMar>
            <w:vAlign w:val="center"/>
          </w:tcPr>
          <w:p w14:paraId="6EB36927" w14:textId="77777777" w:rsidR="00813CB8" w:rsidRPr="00312B84" w:rsidRDefault="002B4BED">
            <w:pPr>
              <w:spacing w:after="40"/>
              <w:rPr>
                <w:sz w:val="24"/>
                <w:szCs w:val="24"/>
              </w:rPr>
            </w:pPr>
            <w:r w:rsidRPr="00312B84">
              <w:rPr>
                <w:rFonts w:ascii="Arial" w:eastAsia="Arial" w:hAnsi="Arial" w:cs="Arial"/>
                <w:b/>
                <w:bCs/>
                <w:color w:val="22303C"/>
                <w:sz w:val="16"/>
                <w:szCs w:val="16"/>
              </w:rPr>
              <w:t>Rating</w:t>
            </w:r>
          </w:p>
        </w:tc>
        <w:tc>
          <w:tcPr>
            <w:tcW w:w="2151" w:type="dxa"/>
            <w:tcMar>
              <w:top w:w="90" w:type="dxa"/>
              <w:left w:w="120" w:type="dxa"/>
              <w:bottom w:w="90" w:type="dxa"/>
              <w:right w:w="120" w:type="dxa"/>
            </w:tcMar>
            <w:vAlign w:val="center"/>
          </w:tcPr>
          <w:p w14:paraId="6EB36928" w14:textId="77777777" w:rsidR="00813CB8" w:rsidRPr="00312B84" w:rsidRDefault="002B4BED">
            <w:pPr>
              <w:spacing w:after="40"/>
              <w:rPr>
                <w:sz w:val="24"/>
                <w:szCs w:val="24"/>
              </w:rPr>
            </w:pPr>
            <w:r w:rsidRPr="00312B84">
              <w:rPr>
                <w:rFonts w:ascii="Arial" w:eastAsia="Arial" w:hAnsi="Arial" w:cs="Arial"/>
                <w:color w:val="22303C"/>
                <w:sz w:val="16"/>
                <w:szCs w:val="16"/>
              </w:rPr>
              <w:t>Neutral — maintained, 8/6</w:t>
            </w:r>
          </w:p>
        </w:tc>
        <w:tc>
          <w:tcPr>
            <w:tcW w:w="2151" w:type="dxa"/>
            <w:tcMar>
              <w:top w:w="90" w:type="dxa"/>
              <w:left w:w="120" w:type="dxa"/>
              <w:bottom w:w="90" w:type="dxa"/>
              <w:right w:w="120" w:type="dxa"/>
            </w:tcMar>
            <w:vAlign w:val="center"/>
          </w:tcPr>
          <w:p w14:paraId="6EB36929" w14:textId="77777777" w:rsidR="00813CB8" w:rsidRPr="00312B84" w:rsidRDefault="002B4BED">
            <w:pPr>
              <w:spacing w:after="40"/>
              <w:rPr>
                <w:sz w:val="24"/>
                <w:szCs w:val="24"/>
              </w:rPr>
            </w:pPr>
            <w:r w:rsidRPr="00312B84">
              <w:rPr>
                <w:rFonts w:ascii="Arial" w:eastAsia="Arial" w:hAnsi="Arial" w:cs="Arial"/>
                <w:color w:val="22303C"/>
                <w:sz w:val="16"/>
                <w:szCs w:val="16"/>
              </w:rPr>
              <w:t>Market Outperform — maintained, 8/7</w:t>
            </w:r>
          </w:p>
        </w:tc>
        <w:tc>
          <w:tcPr>
            <w:tcW w:w="2151" w:type="dxa"/>
            <w:tcMar>
              <w:top w:w="90" w:type="dxa"/>
              <w:left w:w="120" w:type="dxa"/>
              <w:bottom w:w="90" w:type="dxa"/>
              <w:right w:w="120" w:type="dxa"/>
            </w:tcMar>
            <w:vAlign w:val="center"/>
          </w:tcPr>
          <w:p w14:paraId="6EB3692A" w14:textId="77777777" w:rsidR="00813CB8" w:rsidRPr="00312B84" w:rsidRDefault="002B4BED">
            <w:pPr>
              <w:spacing w:after="40"/>
              <w:rPr>
                <w:sz w:val="24"/>
                <w:szCs w:val="24"/>
              </w:rPr>
            </w:pPr>
            <w:r w:rsidRPr="00312B84">
              <w:rPr>
                <w:rFonts w:ascii="Arial" w:eastAsia="Arial" w:hAnsi="Arial" w:cs="Arial"/>
                <w:color w:val="22303C"/>
                <w:sz w:val="16"/>
                <w:szCs w:val="16"/>
              </w:rPr>
              <w:t>Overweight — reiterated, 8/7</w:t>
            </w:r>
          </w:p>
        </w:tc>
        <w:tc>
          <w:tcPr>
            <w:tcW w:w="2152" w:type="dxa"/>
            <w:tcMar>
              <w:top w:w="90" w:type="dxa"/>
              <w:left w:w="120" w:type="dxa"/>
              <w:bottom w:w="90" w:type="dxa"/>
              <w:right w:w="120" w:type="dxa"/>
            </w:tcMar>
            <w:vAlign w:val="center"/>
          </w:tcPr>
          <w:p w14:paraId="6EB3692B" w14:textId="77777777" w:rsidR="00813CB8" w:rsidRPr="00312B84" w:rsidRDefault="002B4BED">
            <w:pPr>
              <w:spacing w:after="40"/>
              <w:rPr>
                <w:sz w:val="24"/>
                <w:szCs w:val="24"/>
              </w:rPr>
            </w:pPr>
            <w:r w:rsidRPr="00312B84">
              <w:rPr>
                <w:rFonts w:ascii="Arial" w:eastAsia="Arial" w:hAnsi="Arial" w:cs="Arial"/>
                <w:color w:val="22303C"/>
                <w:sz w:val="16"/>
                <w:szCs w:val="16"/>
              </w:rPr>
              <w:t>Buy — reaffirmed, 8/6</w:t>
            </w:r>
          </w:p>
        </w:tc>
      </w:tr>
      <w:tr w:rsidR="00813CB8" w:rsidRPr="00312B84" w14:paraId="6EB36932" w14:textId="77777777">
        <w:trPr>
          <w:cantSplit/>
        </w:trPr>
        <w:tc>
          <w:tcPr>
            <w:tcW w:w="1639" w:type="dxa"/>
            <w:shd w:val="clear" w:color="auto" w:fill="EEF2F6"/>
            <w:tcMar>
              <w:top w:w="90" w:type="dxa"/>
              <w:left w:w="120" w:type="dxa"/>
              <w:bottom w:w="90" w:type="dxa"/>
              <w:right w:w="120" w:type="dxa"/>
            </w:tcMar>
            <w:vAlign w:val="center"/>
          </w:tcPr>
          <w:p w14:paraId="6EB3692D" w14:textId="77777777" w:rsidR="00813CB8" w:rsidRPr="00312B84" w:rsidRDefault="002B4BED">
            <w:pPr>
              <w:spacing w:after="40"/>
              <w:rPr>
                <w:sz w:val="24"/>
                <w:szCs w:val="24"/>
              </w:rPr>
            </w:pPr>
            <w:r w:rsidRPr="00312B84">
              <w:rPr>
                <w:rFonts w:ascii="Arial" w:eastAsia="Arial" w:hAnsi="Arial" w:cs="Arial"/>
                <w:b/>
                <w:bCs/>
                <w:color w:val="22303C"/>
                <w:sz w:val="16"/>
                <w:szCs w:val="16"/>
              </w:rPr>
              <w:t>Target price</w:t>
            </w:r>
          </w:p>
        </w:tc>
        <w:tc>
          <w:tcPr>
            <w:tcW w:w="2151" w:type="dxa"/>
            <w:tcMar>
              <w:top w:w="90" w:type="dxa"/>
              <w:left w:w="120" w:type="dxa"/>
              <w:bottom w:w="90" w:type="dxa"/>
              <w:right w:w="120" w:type="dxa"/>
            </w:tcMar>
            <w:vAlign w:val="center"/>
          </w:tcPr>
          <w:p w14:paraId="6EB3692E" w14:textId="77777777" w:rsidR="00813CB8" w:rsidRPr="00312B84" w:rsidRDefault="002B4BED">
            <w:pPr>
              <w:spacing w:after="40"/>
              <w:rPr>
                <w:sz w:val="24"/>
                <w:szCs w:val="24"/>
              </w:rPr>
            </w:pPr>
            <w:r w:rsidRPr="00312B84">
              <w:rPr>
                <w:rFonts w:ascii="Arial" w:eastAsia="Arial" w:hAnsi="Arial" w:cs="Arial"/>
                <w:color w:val="22303C"/>
                <w:sz w:val="16"/>
                <w:szCs w:val="16"/>
              </w:rPr>
              <w:t>$11.50</w:t>
            </w:r>
          </w:p>
        </w:tc>
        <w:tc>
          <w:tcPr>
            <w:tcW w:w="2151" w:type="dxa"/>
            <w:tcMar>
              <w:top w:w="90" w:type="dxa"/>
              <w:left w:w="120" w:type="dxa"/>
              <w:bottom w:w="90" w:type="dxa"/>
              <w:right w:w="120" w:type="dxa"/>
            </w:tcMar>
            <w:vAlign w:val="center"/>
          </w:tcPr>
          <w:p w14:paraId="6EB3692F" w14:textId="77777777" w:rsidR="00813CB8" w:rsidRPr="00312B84" w:rsidRDefault="002B4BED">
            <w:pPr>
              <w:spacing w:after="40"/>
              <w:rPr>
                <w:sz w:val="24"/>
                <w:szCs w:val="24"/>
              </w:rPr>
            </w:pPr>
            <w:r w:rsidRPr="00312B84">
              <w:rPr>
                <w:rFonts w:ascii="Arial" w:eastAsia="Arial" w:hAnsi="Arial" w:cs="Arial"/>
                <w:color w:val="22303C"/>
                <w:sz w:val="16"/>
                <w:szCs w:val="16"/>
              </w:rPr>
              <w:t>$17.00</w:t>
            </w:r>
          </w:p>
        </w:tc>
        <w:tc>
          <w:tcPr>
            <w:tcW w:w="2151" w:type="dxa"/>
            <w:tcMar>
              <w:top w:w="90" w:type="dxa"/>
              <w:left w:w="120" w:type="dxa"/>
              <w:bottom w:w="90" w:type="dxa"/>
              <w:right w:w="120" w:type="dxa"/>
            </w:tcMar>
            <w:vAlign w:val="center"/>
          </w:tcPr>
          <w:p w14:paraId="6EB36930" w14:textId="77777777" w:rsidR="00813CB8" w:rsidRPr="00312B84" w:rsidRDefault="002B4BED">
            <w:pPr>
              <w:spacing w:after="40"/>
              <w:rPr>
                <w:sz w:val="24"/>
                <w:szCs w:val="24"/>
              </w:rPr>
            </w:pPr>
            <w:r w:rsidRPr="00312B84">
              <w:rPr>
                <w:rFonts w:ascii="Arial" w:eastAsia="Arial" w:hAnsi="Arial" w:cs="Arial"/>
                <w:color w:val="22303C"/>
                <w:sz w:val="16"/>
                <w:szCs w:val="16"/>
              </w:rPr>
              <w:t>$12.00</w:t>
            </w:r>
          </w:p>
        </w:tc>
        <w:tc>
          <w:tcPr>
            <w:tcW w:w="2152" w:type="dxa"/>
            <w:tcMar>
              <w:top w:w="90" w:type="dxa"/>
              <w:left w:w="120" w:type="dxa"/>
              <w:bottom w:w="90" w:type="dxa"/>
              <w:right w:w="120" w:type="dxa"/>
            </w:tcMar>
            <w:vAlign w:val="center"/>
          </w:tcPr>
          <w:p w14:paraId="6EB36931" w14:textId="77777777" w:rsidR="00813CB8" w:rsidRPr="00312B84" w:rsidRDefault="002B4BED">
            <w:pPr>
              <w:spacing w:after="40"/>
              <w:rPr>
                <w:sz w:val="24"/>
                <w:szCs w:val="24"/>
              </w:rPr>
            </w:pPr>
            <w:r w:rsidRPr="00312B84">
              <w:rPr>
                <w:rFonts w:ascii="Arial" w:eastAsia="Arial" w:hAnsi="Arial" w:cs="Arial"/>
                <w:color w:val="22303C"/>
                <w:sz w:val="16"/>
                <w:szCs w:val="16"/>
              </w:rPr>
              <w:t>$15.00</w:t>
            </w:r>
          </w:p>
        </w:tc>
      </w:tr>
      <w:tr w:rsidR="00813CB8" w:rsidRPr="00312B84" w14:paraId="6EB36938" w14:textId="77777777">
        <w:trPr>
          <w:cantSplit/>
        </w:trPr>
        <w:tc>
          <w:tcPr>
            <w:tcW w:w="1639" w:type="dxa"/>
            <w:shd w:val="clear" w:color="auto" w:fill="EEF2F6"/>
            <w:tcMar>
              <w:top w:w="90" w:type="dxa"/>
              <w:left w:w="120" w:type="dxa"/>
              <w:bottom w:w="90" w:type="dxa"/>
              <w:right w:w="120" w:type="dxa"/>
            </w:tcMar>
            <w:vAlign w:val="center"/>
          </w:tcPr>
          <w:p w14:paraId="6EB36933" w14:textId="77777777" w:rsidR="00813CB8" w:rsidRPr="00312B84" w:rsidRDefault="002B4BED">
            <w:pPr>
              <w:spacing w:after="40"/>
              <w:rPr>
                <w:sz w:val="24"/>
                <w:szCs w:val="24"/>
              </w:rPr>
            </w:pPr>
            <w:r w:rsidRPr="00312B84">
              <w:rPr>
                <w:rFonts w:ascii="Arial" w:eastAsia="Arial" w:hAnsi="Arial" w:cs="Arial"/>
                <w:b/>
                <w:bCs/>
                <w:color w:val="22303C"/>
                <w:sz w:val="16"/>
                <w:szCs w:val="16"/>
              </w:rPr>
              <w:t>QoQ Chg</w:t>
            </w:r>
          </w:p>
        </w:tc>
        <w:tc>
          <w:tcPr>
            <w:tcW w:w="2151" w:type="dxa"/>
            <w:tcMar>
              <w:top w:w="90" w:type="dxa"/>
              <w:left w:w="120" w:type="dxa"/>
              <w:bottom w:w="90" w:type="dxa"/>
              <w:right w:w="120" w:type="dxa"/>
            </w:tcMar>
            <w:vAlign w:val="center"/>
          </w:tcPr>
          <w:p w14:paraId="6EB36934" w14:textId="77777777" w:rsidR="00813CB8" w:rsidRPr="00312B84" w:rsidRDefault="002B4BED">
            <w:pPr>
              <w:spacing w:after="40"/>
              <w:rPr>
                <w:sz w:val="24"/>
                <w:szCs w:val="24"/>
              </w:rPr>
            </w:pPr>
            <w:r w:rsidRPr="00312B84">
              <w:rPr>
                <w:rFonts w:ascii="Arial" w:eastAsia="Arial" w:hAnsi="Arial" w:cs="Arial"/>
                <w:color w:val="22303C"/>
                <w:sz w:val="16"/>
                <w:szCs w:val="16"/>
              </w:rPr>
              <w:t>Unchanged; cut from $14.00 in May</w:t>
            </w:r>
          </w:p>
        </w:tc>
        <w:tc>
          <w:tcPr>
            <w:tcW w:w="2151" w:type="dxa"/>
            <w:tcMar>
              <w:top w:w="90" w:type="dxa"/>
              <w:left w:w="120" w:type="dxa"/>
              <w:bottom w:w="90" w:type="dxa"/>
              <w:right w:w="120" w:type="dxa"/>
            </w:tcMar>
            <w:vAlign w:val="center"/>
          </w:tcPr>
          <w:p w14:paraId="6EB36935" w14:textId="77777777" w:rsidR="00813CB8" w:rsidRPr="00312B84" w:rsidRDefault="002B4BED">
            <w:pPr>
              <w:spacing w:after="40"/>
              <w:rPr>
                <w:sz w:val="24"/>
                <w:szCs w:val="24"/>
              </w:rPr>
            </w:pPr>
            <w:r w:rsidRPr="00312B84">
              <w:rPr>
                <w:rFonts w:ascii="Arial" w:eastAsia="Arial" w:hAnsi="Arial" w:cs="Arial"/>
                <w:color w:val="22303C"/>
                <w:sz w:val="16"/>
                <w:szCs w:val="16"/>
              </w:rPr>
              <w:t>↑ Raised from $16.00 — the only post-Q2 increase</w:t>
            </w:r>
          </w:p>
        </w:tc>
        <w:tc>
          <w:tcPr>
            <w:tcW w:w="2151" w:type="dxa"/>
            <w:tcMar>
              <w:top w:w="90" w:type="dxa"/>
              <w:left w:w="120" w:type="dxa"/>
              <w:bottom w:w="90" w:type="dxa"/>
              <w:right w:w="120" w:type="dxa"/>
            </w:tcMar>
            <w:vAlign w:val="center"/>
          </w:tcPr>
          <w:p w14:paraId="6EB36936" w14:textId="77777777" w:rsidR="00813CB8" w:rsidRPr="00312B84" w:rsidRDefault="002B4BED">
            <w:pPr>
              <w:spacing w:after="40"/>
              <w:rPr>
                <w:sz w:val="24"/>
                <w:szCs w:val="24"/>
              </w:rPr>
            </w:pPr>
            <w:r w:rsidRPr="00312B84">
              <w:rPr>
                <w:rFonts w:ascii="Arial" w:eastAsia="Arial" w:hAnsi="Arial" w:cs="Arial"/>
                <w:color w:val="22303C"/>
                <w:sz w:val="16"/>
                <w:szCs w:val="16"/>
              </w:rPr>
              <w:t>Unchanged; cut from $13.00 in May</w:t>
            </w:r>
          </w:p>
        </w:tc>
        <w:tc>
          <w:tcPr>
            <w:tcW w:w="2152" w:type="dxa"/>
            <w:tcMar>
              <w:top w:w="90" w:type="dxa"/>
              <w:left w:w="120" w:type="dxa"/>
              <w:bottom w:w="90" w:type="dxa"/>
              <w:right w:w="120" w:type="dxa"/>
            </w:tcMar>
            <w:vAlign w:val="center"/>
          </w:tcPr>
          <w:p w14:paraId="6EB36937" w14:textId="77777777" w:rsidR="00813CB8" w:rsidRPr="00312B84" w:rsidRDefault="002B4BED">
            <w:pPr>
              <w:spacing w:after="40"/>
              <w:rPr>
                <w:sz w:val="24"/>
                <w:szCs w:val="24"/>
              </w:rPr>
            </w:pPr>
            <w:r w:rsidRPr="00312B84">
              <w:rPr>
                <w:rFonts w:ascii="Arial" w:eastAsia="Arial" w:hAnsi="Arial" w:cs="Arial"/>
                <w:color w:val="22303C"/>
                <w:sz w:val="16"/>
                <w:szCs w:val="16"/>
              </w:rPr>
              <w:t>Unchanged; cut from $16.00 in May</w:t>
            </w:r>
          </w:p>
        </w:tc>
      </w:tr>
      <w:tr w:rsidR="00813CB8" w:rsidRPr="00312B84" w14:paraId="6EB3693E" w14:textId="77777777">
        <w:trPr>
          <w:cantSplit/>
        </w:trPr>
        <w:tc>
          <w:tcPr>
            <w:tcW w:w="1639" w:type="dxa"/>
            <w:shd w:val="clear" w:color="auto" w:fill="EEF2F6"/>
            <w:tcMar>
              <w:top w:w="90" w:type="dxa"/>
              <w:left w:w="120" w:type="dxa"/>
              <w:bottom w:w="90" w:type="dxa"/>
              <w:right w:w="120" w:type="dxa"/>
            </w:tcMar>
            <w:vAlign w:val="center"/>
          </w:tcPr>
          <w:p w14:paraId="6EB36939" w14:textId="77777777" w:rsidR="00813CB8" w:rsidRPr="00312B84" w:rsidRDefault="002B4BED">
            <w:pPr>
              <w:spacing w:after="40"/>
              <w:rPr>
                <w:sz w:val="24"/>
                <w:szCs w:val="24"/>
              </w:rPr>
            </w:pPr>
            <w:r w:rsidRPr="00312B84">
              <w:rPr>
                <w:rFonts w:ascii="Arial" w:eastAsia="Arial" w:hAnsi="Arial" w:cs="Arial"/>
                <w:b/>
                <w:bCs/>
                <w:color w:val="22303C"/>
                <w:sz w:val="16"/>
                <w:szCs w:val="16"/>
              </w:rPr>
              <w:t>Valuation</w:t>
            </w:r>
          </w:p>
        </w:tc>
        <w:tc>
          <w:tcPr>
            <w:tcW w:w="2151" w:type="dxa"/>
            <w:tcMar>
              <w:top w:w="90" w:type="dxa"/>
              <w:left w:w="120" w:type="dxa"/>
              <w:bottom w:w="90" w:type="dxa"/>
              <w:right w:w="120" w:type="dxa"/>
            </w:tcMar>
            <w:vAlign w:val="center"/>
          </w:tcPr>
          <w:p w14:paraId="6EB3693A" w14:textId="77777777" w:rsidR="00813CB8" w:rsidRPr="00312B84" w:rsidRDefault="002B4BED">
            <w:pPr>
              <w:spacing w:after="40"/>
              <w:rPr>
                <w:sz w:val="24"/>
                <w:szCs w:val="24"/>
              </w:rPr>
            </w:pPr>
            <w:r w:rsidRPr="00312B84">
              <w:rPr>
                <w:rFonts w:ascii="Arial" w:eastAsia="Arial" w:hAnsi="Arial" w:cs="Arial"/>
                <w:color w:val="22303C"/>
                <w:sz w:val="16"/>
                <w:szCs w:val="16"/>
              </w:rPr>
              <w:t>~0.7x NAV</w:t>
            </w:r>
          </w:p>
        </w:tc>
        <w:tc>
          <w:tcPr>
            <w:tcW w:w="2151" w:type="dxa"/>
            <w:tcMar>
              <w:top w:w="90" w:type="dxa"/>
              <w:left w:w="120" w:type="dxa"/>
              <w:bottom w:w="90" w:type="dxa"/>
              <w:right w:w="120" w:type="dxa"/>
            </w:tcMar>
            <w:vAlign w:val="center"/>
          </w:tcPr>
          <w:p w14:paraId="6EB3693B" w14:textId="77777777" w:rsidR="00813CB8" w:rsidRPr="00312B84" w:rsidRDefault="002B4BED">
            <w:pPr>
              <w:spacing w:after="40"/>
              <w:rPr>
                <w:sz w:val="24"/>
                <w:szCs w:val="24"/>
              </w:rPr>
            </w:pPr>
            <w:r w:rsidRPr="00312B84">
              <w:rPr>
                <w:rFonts w:ascii="Arial" w:eastAsia="Arial" w:hAnsi="Arial" w:cs="Arial"/>
                <w:color w:val="22303C"/>
                <w:sz w:val="16"/>
                <w:szCs w:val="16"/>
              </w:rPr>
              <w:t>NA; implies ~1.03x NAV</w:t>
            </w:r>
          </w:p>
        </w:tc>
        <w:tc>
          <w:tcPr>
            <w:tcW w:w="2151" w:type="dxa"/>
            <w:tcMar>
              <w:top w:w="90" w:type="dxa"/>
              <w:left w:w="120" w:type="dxa"/>
              <w:bottom w:w="90" w:type="dxa"/>
              <w:right w:w="120" w:type="dxa"/>
            </w:tcMar>
            <w:vAlign w:val="center"/>
          </w:tcPr>
          <w:p w14:paraId="6EB3693C" w14:textId="77777777" w:rsidR="00813CB8" w:rsidRPr="00312B84" w:rsidRDefault="002B4BED">
            <w:pPr>
              <w:spacing w:after="40"/>
              <w:rPr>
                <w:sz w:val="24"/>
                <w:szCs w:val="24"/>
              </w:rPr>
            </w:pPr>
            <w:r w:rsidRPr="00312B84">
              <w:rPr>
                <w:rFonts w:ascii="Arial" w:eastAsia="Arial" w:hAnsi="Arial" w:cs="Arial"/>
                <w:color w:val="22303C"/>
                <w:sz w:val="16"/>
                <w:szCs w:val="16"/>
              </w:rPr>
              <w:t>NA; implies ~0.73x NAV</w:t>
            </w:r>
          </w:p>
        </w:tc>
        <w:tc>
          <w:tcPr>
            <w:tcW w:w="2152" w:type="dxa"/>
            <w:tcMar>
              <w:top w:w="90" w:type="dxa"/>
              <w:left w:w="120" w:type="dxa"/>
              <w:bottom w:w="90" w:type="dxa"/>
              <w:right w:w="120" w:type="dxa"/>
            </w:tcMar>
            <w:vAlign w:val="center"/>
          </w:tcPr>
          <w:p w14:paraId="6EB3693D" w14:textId="77777777" w:rsidR="00813CB8" w:rsidRPr="00312B84" w:rsidRDefault="002B4BED">
            <w:pPr>
              <w:spacing w:after="40"/>
              <w:rPr>
                <w:sz w:val="24"/>
                <w:szCs w:val="24"/>
              </w:rPr>
            </w:pPr>
            <w:r w:rsidRPr="00312B84">
              <w:rPr>
                <w:rFonts w:ascii="Arial" w:eastAsia="Arial" w:hAnsi="Arial" w:cs="Arial"/>
                <w:color w:val="22303C"/>
                <w:sz w:val="16"/>
                <w:szCs w:val="16"/>
              </w:rPr>
              <w:t>NA; implies ~0.91x NAV</w:t>
            </w:r>
          </w:p>
        </w:tc>
      </w:tr>
      <w:tr w:rsidR="00813CB8" w:rsidRPr="00312B84" w14:paraId="6EB3694B" w14:textId="77777777">
        <w:trPr>
          <w:cantSplit/>
        </w:trPr>
        <w:tc>
          <w:tcPr>
            <w:tcW w:w="1639" w:type="dxa"/>
            <w:shd w:val="clear" w:color="auto" w:fill="EEF2F6"/>
            <w:tcMar>
              <w:top w:w="90" w:type="dxa"/>
              <w:left w:w="120" w:type="dxa"/>
              <w:bottom w:w="90" w:type="dxa"/>
              <w:right w:w="120" w:type="dxa"/>
            </w:tcMar>
            <w:vAlign w:val="center"/>
          </w:tcPr>
          <w:p w14:paraId="6EB3693F" w14:textId="77777777" w:rsidR="00813CB8" w:rsidRPr="00312B84" w:rsidRDefault="002B4BED">
            <w:pPr>
              <w:spacing w:after="40"/>
              <w:rPr>
                <w:sz w:val="24"/>
                <w:szCs w:val="24"/>
              </w:rPr>
            </w:pPr>
            <w:r w:rsidRPr="00312B84">
              <w:rPr>
                <w:rFonts w:ascii="Arial" w:eastAsia="Arial" w:hAnsi="Arial" w:cs="Arial"/>
                <w:b/>
                <w:bCs/>
                <w:color w:val="22303C"/>
                <w:sz w:val="16"/>
                <w:szCs w:val="16"/>
              </w:rPr>
              <w:t>Key points</w:t>
            </w:r>
          </w:p>
        </w:tc>
        <w:tc>
          <w:tcPr>
            <w:tcW w:w="2151" w:type="dxa"/>
            <w:tcMar>
              <w:top w:w="90" w:type="dxa"/>
              <w:left w:w="120" w:type="dxa"/>
              <w:bottom w:w="90" w:type="dxa"/>
              <w:right w:w="120" w:type="dxa"/>
            </w:tcMar>
            <w:vAlign w:val="center"/>
          </w:tcPr>
          <w:p w14:paraId="6EB36940" w14:textId="77777777" w:rsidR="00813CB8" w:rsidRPr="00312B84" w:rsidRDefault="002B4BED">
            <w:pPr>
              <w:spacing w:after="40"/>
              <w:rPr>
                <w:sz w:val="24"/>
                <w:szCs w:val="24"/>
              </w:rPr>
            </w:pPr>
            <w:r w:rsidRPr="00312B84">
              <w:rPr>
                <w:rFonts w:ascii="Arial" w:eastAsia="Arial" w:hAnsi="Arial" w:cs="Arial"/>
                <w:color w:val="22303C"/>
                <w:sz w:val="16"/>
                <w:szCs w:val="16"/>
              </w:rPr>
              <w:t>•  Stable quarter: NAV flat, credit pristine</w:t>
            </w:r>
          </w:p>
          <w:p w14:paraId="6EB36941" w14:textId="77777777" w:rsidR="00813CB8" w:rsidRPr="00312B84" w:rsidRDefault="002B4BED">
            <w:pPr>
              <w:spacing w:after="40"/>
              <w:rPr>
                <w:sz w:val="24"/>
                <w:szCs w:val="24"/>
              </w:rPr>
            </w:pPr>
            <w:r w:rsidRPr="00312B84">
              <w:rPr>
                <w:rFonts w:ascii="Arial" w:eastAsia="Arial" w:hAnsi="Arial" w:cs="Arial"/>
                <w:color w:val="22303C"/>
                <w:sz w:val="16"/>
                <w:szCs w:val="16"/>
              </w:rPr>
              <w:t>•  Profitability to lag peers on excess capital</w:t>
            </w:r>
          </w:p>
          <w:p w14:paraId="6EB36942" w14:textId="77777777" w:rsidR="00813CB8" w:rsidRPr="00312B84" w:rsidRDefault="002B4BED">
            <w:pPr>
              <w:spacing w:after="40"/>
              <w:rPr>
                <w:sz w:val="24"/>
                <w:szCs w:val="24"/>
              </w:rPr>
            </w:pPr>
            <w:r w:rsidRPr="00312B84">
              <w:rPr>
                <w:rFonts w:ascii="Arial" w:eastAsia="Arial" w:hAnsi="Arial" w:cs="Arial"/>
                <w:color w:val="22303C"/>
                <w:sz w:val="16"/>
                <w:szCs w:val="16"/>
              </w:rPr>
              <w:t>•  Q3 distribution $0.40 incl. final special</w:t>
            </w:r>
          </w:p>
        </w:tc>
        <w:tc>
          <w:tcPr>
            <w:tcW w:w="2151" w:type="dxa"/>
            <w:tcMar>
              <w:top w:w="90" w:type="dxa"/>
              <w:left w:w="120" w:type="dxa"/>
              <w:bottom w:w="90" w:type="dxa"/>
              <w:right w:w="120" w:type="dxa"/>
            </w:tcMar>
            <w:vAlign w:val="center"/>
          </w:tcPr>
          <w:p w14:paraId="6EB36943" w14:textId="77777777" w:rsidR="00813CB8" w:rsidRPr="00312B84" w:rsidRDefault="002B4BED">
            <w:pPr>
              <w:spacing w:after="40"/>
              <w:rPr>
                <w:sz w:val="24"/>
                <w:szCs w:val="24"/>
              </w:rPr>
            </w:pPr>
            <w:r w:rsidRPr="00312B84">
              <w:rPr>
                <w:rFonts w:ascii="Arial" w:eastAsia="Arial" w:hAnsi="Arial" w:cs="Arial"/>
                <w:color w:val="22303C"/>
                <w:sz w:val="16"/>
                <w:szCs w:val="16"/>
              </w:rPr>
              <w:t>•  Long-standing bull; normalized ROE seen as the valuation driver</w:t>
            </w:r>
          </w:p>
          <w:p w14:paraId="6EB36944" w14:textId="77777777" w:rsidR="00813CB8" w:rsidRPr="00312B84" w:rsidRDefault="002B4BED">
            <w:pPr>
              <w:spacing w:after="40"/>
              <w:rPr>
                <w:sz w:val="24"/>
                <w:szCs w:val="24"/>
              </w:rPr>
            </w:pPr>
            <w:r w:rsidRPr="00312B84">
              <w:rPr>
                <w:rFonts w:ascii="Arial" w:eastAsia="Arial" w:hAnsi="Arial" w:cs="Arial"/>
                <w:color w:val="22303C"/>
                <w:sz w:val="16"/>
                <w:szCs w:val="16"/>
              </w:rPr>
              <w:t>•  Upside optionality from equity-linked tech exposure</w:t>
            </w:r>
          </w:p>
          <w:p w14:paraId="6EB36945" w14:textId="77777777" w:rsidR="00813CB8" w:rsidRPr="00312B84" w:rsidRDefault="002B4BED">
            <w:pPr>
              <w:spacing w:after="40"/>
              <w:rPr>
                <w:sz w:val="24"/>
                <w:szCs w:val="24"/>
              </w:rPr>
            </w:pPr>
            <w:r w:rsidRPr="00312B84">
              <w:rPr>
                <w:rFonts w:ascii="Arial" w:eastAsia="Arial" w:hAnsi="Arial" w:cs="Arial"/>
                <w:color w:val="22303C"/>
                <w:sz w:val="16"/>
                <w:szCs w:val="16"/>
              </w:rPr>
              <w:t>•  Only target above NAV</w:t>
            </w:r>
          </w:p>
        </w:tc>
        <w:tc>
          <w:tcPr>
            <w:tcW w:w="2151" w:type="dxa"/>
            <w:tcMar>
              <w:top w:w="90" w:type="dxa"/>
              <w:left w:w="120" w:type="dxa"/>
              <w:bottom w:w="90" w:type="dxa"/>
              <w:right w:w="120" w:type="dxa"/>
            </w:tcMar>
            <w:vAlign w:val="center"/>
          </w:tcPr>
          <w:p w14:paraId="6EB36946" w14:textId="77777777" w:rsidR="00813CB8" w:rsidRPr="00312B84" w:rsidRDefault="002B4BED">
            <w:pPr>
              <w:spacing w:after="40"/>
              <w:rPr>
                <w:sz w:val="24"/>
                <w:szCs w:val="24"/>
              </w:rPr>
            </w:pPr>
            <w:r w:rsidRPr="00312B84">
              <w:rPr>
                <w:rFonts w:ascii="Arial" w:eastAsia="Arial" w:hAnsi="Arial" w:cs="Arial"/>
                <w:color w:val="22303C"/>
                <w:sz w:val="16"/>
                <w:szCs w:val="16"/>
              </w:rPr>
              <w:t>•  Upgraded to Overweight Oct-25 on discounted valuation</w:t>
            </w:r>
          </w:p>
          <w:p w14:paraId="6EB36947" w14:textId="77777777" w:rsidR="00813CB8" w:rsidRPr="00312B84" w:rsidRDefault="002B4BED">
            <w:pPr>
              <w:spacing w:after="40"/>
              <w:rPr>
                <w:sz w:val="24"/>
                <w:szCs w:val="24"/>
              </w:rPr>
            </w:pPr>
            <w:r w:rsidRPr="00312B84">
              <w:rPr>
                <w:rFonts w:ascii="Arial" w:eastAsia="Arial" w:hAnsi="Arial" w:cs="Arial"/>
                <w:color w:val="22303C"/>
                <w:sz w:val="16"/>
                <w:szCs w:val="16"/>
              </w:rPr>
              <w:t>•  Post-Q2 reiteration; target carried over from May</w:t>
            </w:r>
          </w:p>
          <w:p w14:paraId="6EB36948" w14:textId="77777777" w:rsidR="00813CB8" w:rsidRPr="00312B84" w:rsidRDefault="002B4BED">
            <w:pPr>
              <w:spacing w:after="40"/>
              <w:rPr>
                <w:sz w:val="24"/>
                <w:szCs w:val="24"/>
              </w:rPr>
            </w:pPr>
            <w:r w:rsidRPr="00312B84">
              <w:rPr>
                <w:rFonts w:ascii="Arial" w:eastAsia="Arial" w:hAnsi="Arial" w:cs="Arial"/>
                <w:color w:val="22303C"/>
                <w:sz w:val="16"/>
                <w:szCs w:val="16"/>
              </w:rPr>
              <w:t>•  Discount seen as sentiment, not credit</w:t>
            </w:r>
          </w:p>
        </w:tc>
        <w:tc>
          <w:tcPr>
            <w:tcW w:w="2152" w:type="dxa"/>
            <w:tcMar>
              <w:top w:w="90" w:type="dxa"/>
              <w:left w:w="120" w:type="dxa"/>
              <w:bottom w:w="90" w:type="dxa"/>
              <w:right w:w="120" w:type="dxa"/>
            </w:tcMar>
            <w:vAlign w:val="center"/>
          </w:tcPr>
          <w:p w14:paraId="6EB36949" w14:textId="77777777" w:rsidR="00813CB8" w:rsidRPr="00312B84" w:rsidRDefault="002B4BED">
            <w:pPr>
              <w:spacing w:after="40"/>
              <w:rPr>
                <w:sz w:val="24"/>
                <w:szCs w:val="24"/>
              </w:rPr>
            </w:pPr>
            <w:r w:rsidRPr="00312B84">
              <w:rPr>
                <w:rFonts w:ascii="Arial" w:eastAsia="Arial" w:hAnsi="Arial" w:cs="Arial"/>
                <w:color w:val="22303C"/>
                <w:sz w:val="16"/>
                <w:szCs w:val="16"/>
              </w:rPr>
              <w:t>•  Reaffirmed post-Q2; target carried over from May</w:t>
            </w:r>
          </w:p>
          <w:p w14:paraId="6EB3694A" w14:textId="77777777" w:rsidR="00813CB8" w:rsidRPr="00312B84" w:rsidRDefault="002B4BED">
            <w:pPr>
              <w:spacing w:after="40"/>
              <w:rPr>
                <w:sz w:val="24"/>
                <w:szCs w:val="24"/>
              </w:rPr>
            </w:pPr>
            <w:r w:rsidRPr="00312B84">
              <w:rPr>
                <w:rFonts w:ascii="Arial" w:eastAsia="Arial" w:hAnsi="Arial" w:cs="Arial"/>
                <w:color w:val="22303C"/>
                <w:sz w:val="16"/>
                <w:szCs w:val="16"/>
              </w:rPr>
              <w:t>•  May cut reflected faster leverage build and higher debt-cost assumptions</w:t>
            </w:r>
          </w:p>
        </w:tc>
      </w:tr>
    </w:tbl>
    <w:p w14:paraId="6EB3694C" w14:textId="77777777" w:rsidR="00813CB8" w:rsidRPr="00312B84" w:rsidRDefault="002B4BED">
      <w:pPr>
        <w:spacing w:after="200"/>
        <w:ind w:left="200"/>
        <w:rPr>
          <w:sz w:val="24"/>
          <w:szCs w:val="24"/>
        </w:rPr>
      </w:pPr>
      <w:r w:rsidRPr="00312B84">
        <w:rPr>
          <w:rFonts w:ascii="Arial" w:eastAsia="Arial" w:hAnsi="Arial" w:cs="Arial"/>
          <w:i/>
          <w:iCs/>
          <w:color w:val="5A6B7B"/>
          <w:sz w:val="13"/>
          <w:szCs w:val="13"/>
        </w:rPr>
        <w:t>Current-quarter coverage only — actions dated 5–17 August 2026 post Q2 results. RBC and KBW carry $12 targets from May with no post-Q2 action found; aggregator consensus averages ~$13.6, Moderate Buy, across 7–9 analysts. Targets span 0.70x–1.03x of the $16.48 NAV, i.e. roughly flat to +47% vs the $11.46 close of 8/14. Source: broker notes on file; MarketBeat, StockAnalysis, Benzinga rating feeds</w:t>
      </w:r>
    </w:p>
    <w:p w14:paraId="6EB3694D" w14:textId="77777777" w:rsidR="00813CB8" w:rsidRPr="00312B84" w:rsidRDefault="002B4BED">
      <w:pPr>
        <w:pStyle w:val="2"/>
        <w:spacing w:before="560" w:after="140"/>
        <w:rPr>
          <w:sz w:val="22"/>
          <w:szCs w:val="22"/>
        </w:rPr>
      </w:pPr>
      <w:r w:rsidRPr="00312B84">
        <w:rPr>
          <w:rFonts w:eastAsia="Calibri Light"/>
          <w:color w:val="001F5F"/>
          <w:sz w:val="40"/>
          <w:szCs w:val="40"/>
        </w:rPr>
        <w:t>2.5 Price comparison</w:t>
      </w:r>
    </w:p>
    <w:p w14:paraId="6EB3694E" w14:textId="77777777" w:rsidR="00813CB8" w:rsidRPr="00312B84" w:rsidRDefault="002B4BED">
      <w:pPr>
        <w:spacing w:before="120" w:after="160"/>
        <w:jc w:val="center"/>
        <w:rPr>
          <w:sz w:val="24"/>
          <w:szCs w:val="24"/>
        </w:rPr>
      </w:pPr>
      <w:r w:rsidRPr="00312B84">
        <w:rPr>
          <w:noProof/>
          <w:sz w:val="24"/>
          <w:szCs w:val="24"/>
        </w:rPr>
        <w:drawing>
          <wp:inline distT="0" distB="0" distL="0" distR="0" wp14:anchorId="6EB36AA5" wp14:editId="6EB36AA6">
            <wp:extent cx="6503669" cy="3763609"/>
            <wp:effectExtent l="0" t="0" r="0" b="0"/>
            <wp:docPr id="1221455983" name="图片 1221455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503669" cy="3763609"/>
                    </a:xfrm>
                    <a:prstGeom prst="rect">
                      <a:avLst/>
                    </a:prstGeom>
                  </pic:spPr>
                </pic:pic>
              </a:graphicData>
            </a:graphic>
          </wp:inline>
        </w:drawing>
      </w:r>
    </w:p>
    <w:p w14:paraId="6EB3694F" w14:textId="77777777" w:rsidR="00813CB8" w:rsidRPr="00312B84" w:rsidRDefault="002B4BED">
      <w:pPr>
        <w:spacing w:before="120" w:after="160"/>
        <w:jc w:val="center"/>
        <w:rPr>
          <w:sz w:val="24"/>
          <w:szCs w:val="24"/>
        </w:rPr>
      </w:pPr>
      <w:r w:rsidRPr="00312B84">
        <w:rPr>
          <w:noProof/>
          <w:sz w:val="24"/>
          <w:szCs w:val="24"/>
        </w:rPr>
        <w:lastRenderedPageBreak/>
        <w:drawing>
          <wp:inline distT="0" distB="0" distL="0" distR="0" wp14:anchorId="6EB36AA7" wp14:editId="6EB36AA8">
            <wp:extent cx="6503669" cy="3763609"/>
            <wp:effectExtent l="0" t="0" r="0" b="0"/>
            <wp:docPr id="386103556" name="图片 38610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503669" cy="3763609"/>
                    </a:xfrm>
                    <a:prstGeom prst="rect">
                      <a:avLst/>
                    </a:prstGeom>
                  </pic:spPr>
                </pic:pic>
              </a:graphicData>
            </a:graphic>
          </wp:inline>
        </w:drawing>
      </w:r>
    </w:p>
    <w:tbl>
      <w:tblPr>
        <w:tblW w:w="10244"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CellMar>
          <w:left w:w="10" w:type="dxa"/>
          <w:right w:w="10" w:type="dxa"/>
        </w:tblCellMar>
        <w:tblLook w:val="04A0" w:firstRow="1" w:lastRow="0" w:firstColumn="1" w:lastColumn="0" w:noHBand="0" w:noVBand="1"/>
      </w:tblPr>
      <w:tblGrid>
        <w:gridCol w:w="3176"/>
        <w:gridCol w:w="2356"/>
        <w:gridCol w:w="2356"/>
        <w:gridCol w:w="2356"/>
      </w:tblGrid>
      <w:tr w:rsidR="00813CB8" w:rsidRPr="00312B84" w14:paraId="6EB36954" w14:textId="77777777">
        <w:trPr>
          <w:cantSplit/>
          <w:tblHeader/>
        </w:trPr>
        <w:tc>
          <w:tcPr>
            <w:tcW w:w="3176" w:type="dxa"/>
            <w:shd w:val="clear" w:color="auto" w:fill="1F3B5B"/>
            <w:tcMar>
              <w:top w:w="90" w:type="dxa"/>
              <w:left w:w="120" w:type="dxa"/>
              <w:bottom w:w="90" w:type="dxa"/>
              <w:right w:w="120" w:type="dxa"/>
            </w:tcMar>
            <w:vAlign w:val="center"/>
          </w:tcPr>
          <w:p w14:paraId="6EB36950" w14:textId="77777777" w:rsidR="00813CB8" w:rsidRPr="00312B84" w:rsidRDefault="002B4BED">
            <w:pPr>
              <w:spacing w:after="40"/>
              <w:rPr>
                <w:sz w:val="24"/>
                <w:szCs w:val="24"/>
              </w:rPr>
            </w:pPr>
            <w:r w:rsidRPr="00312B84">
              <w:rPr>
                <w:rFonts w:ascii="Arial" w:eastAsia="Arial" w:hAnsi="Arial" w:cs="Arial"/>
                <w:b/>
                <w:bCs/>
                <w:color w:val="FFFFFF"/>
                <w:sz w:val="20"/>
                <w:szCs w:val="20"/>
              </w:rPr>
              <w:t>Ticker</w:t>
            </w:r>
          </w:p>
        </w:tc>
        <w:tc>
          <w:tcPr>
            <w:tcW w:w="2356" w:type="dxa"/>
            <w:shd w:val="clear" w:color="auto" w:fill="1F3B5B"/>
            <w:tcMar>
              <w:top w:w="90" w:type="dxa"/>
              <w:left w:w="120" w:type="dxa"/>
              <w:bottom w:w="90" w:type="dxa"/>
              <w:right w:w="120" w:type="dxa"/>
            </w:tcMar>
            <w:vAlign w:val="center"/>
          </w:tcPr>
          <w:p w14:paraId="6EB36951" w14:textId="77777777" w:rsidR="00813CB8" w:rsidRPr="00312B84" w:rsidRDefault="002B4BED">
            <w:pPr>
              <w:spacing w:after="40"/>
              <w:jc w:val="center"/>
              <w:rPr>
                <w:sz w:val="24"/>
                <w:szCs w:val="24"/>
              </w:rPr>
            </w:pPr>
            <w:r w:rsidRPr="00312B84">
              <w:rPr>
                <w:rFonts w:ascii="Arial" w:eastAsia="Arial" w:hAnsi="Arial" w:cs="Arial"/>
                <w:b/>
                <w:bCs/>
                <w:color w:val="FFFFFF"/>
                <w:sz w:val="20"/>
                <w:szCs w:val="20"/>
              </w:rPr>
              <w:t>Listing-day close 6/12/25</w:t>
            </w:r>
          </w:p>
        </w:tc>
        <w:tc>
          <w:tcPr>
            <w:tcW w:w="2356" w:type="dxa"/>
            <w:shd w:val="clear" w:color="auto" w:fill="1F3B5B"/>
            <w:tcMar>
              <w:top w:w="90" w:type="dxa"/>
              <w:left w:w="120" w:type="dxa"/>
              <w:bottom w:w="90" w:type="dxa"/>
              <w:right w:w="120" w:type="dxa"/>
            </w:tcMar>
            <w:vAlign w:val="center"/>
          </w:tcPr>
          <w:p w14:paraId="6EB36952" w14:textId="77777777" w:rsidR="00813CB8" w:rsidRPr="00312B84" w:rsidRDefault="002B4BED">
            <w:pPr>
              <w:spacing w:after="40"/>
              <w:jc w:val="center"/>
              <w:rPr>
                <w:sz w:val="24"/>
                <w:szCs w:val="24"/>
              </w:rPr>
            </w:pPr>
            <w:r w:rsidRPr="00312B84">
              <w:rPr>
                <w:rFonts w:ascii="Arial" w:eastAsia="Arial" w:hAnsi="Arial" w:cs="Arial"/>
                <w:b/>
                <w:bCs/>
                <w:color w:val="FFFFFF"/>
                <w:sz w:val="20"/>
                <w:szCs w:val="20"/>
              </w:rPr>
              <w:t>Close 8/14/26</w:t>
            </w:r>
          </w:p>
        </w:tc>
        <w:tc>
          <w:tcPr>
            <w:tcW w:w="2356" w:type="dxa"/>
            <w:shd w:val="clear" w:color="auto" w:fill="1F3B5B"/>
            <w:tcMar>
              <w:top w:w="90" w:type="dxa"/>
              <w:left w:w="120" w:type="dxa"/>
              <w:bottom w:w="90" w:type="dxa"/>
              <w:right w:w="120" w:type="dxa"/>
            </w:tcMar>
            <w:vAlign w:val="center"/>
          </w:tcPr>
          <w:p w14:paraId="6EB36953" w14:textId="77777777" w:rsidR="00813CB8" w:rsidRPr="00312B84" w:rsidRDefault="002B4BED">
            <w:pPr>
              <w:spacing w:after="40"/>
              <w:jc w:val="center"/>
              <w:rPr>
                <w:sz w:val="24"/>
                <w:szCs w:val="24"/>
              </w:rPr>
            </w:pPr>
            <w:r w:rsidRPr="00312B84">
              <w:rPr>
                <w:rFonts w:ascii="Arial" w:eastAsia="Arial" w:hAnsi="Arial" w:cs="Arial"/>
                <w:b/>
                <w:bCs/>
                <w:color w:val="FFFFFF"/>
                <w:sz w:val="20"/>
                <w:szCs w:val="20"/>
              </w:rPr>
              <w:t>Since listing</w:t>
            </w:r>
          </w:p>
        </w:tc>
      </w:tr>
      <w:tr w:rsidR="00813CB8" w:rsidRPr="00312B84" w14:paraId="6EB36959" w14:textId="77777777">
        <w:trPr>
          <w:cantSplit/>
        </w:trPr>
        <w:tc>
          <w:tcPr>
            <w:tcW w:w="3176" w:type="dxa"/>
            <w:shd w:val="clear" w:color="auto" w:fill="EEF2F6"/>
            <w:tcMar>
              <w:top w:w="90" w:type="dxa"/>
              <w:left w:w="120" w:type="dxa"/>
              <w:bottom w:w="90" w:type="dxa"/>
              <w:right w:w="120" w:type="dxa"/>
            </w:tcMar>
            <w:vAlign w:val="center"/>
          </w:tcPr>
          <w:p w14:paraId="6EB36955" w14:textId="77777777" w:rsidR="00813CB8" w:rsidRPr="00312B84" w:rsidRDefault="002B4BED">
            <w:pPr>
              <w:spacing w:after="40"/>
              <w:rPr>
                <w:sz w:val="24"/>
                <w:szCs w:val="24"/>
              </w:rPr>
            </w:pPr>
            <w:r w:rsidRPr="00312B84">
              <w:rPr>
                <w:rFonts w:ascii="Arial" w:eastAsia="Arial" w:hAnsi="Arial" w:cs="Arial"/>
                <w:b/>
                <w:bCs/>
                <w:color w:val="22303C"/>
                <w:sz w:val="20"/>
                <w:szCs w:val="20"/>
              </w:rPr>
              <w:t>OTF — Blue Owl Technology Finance</w:t>
            </w:r>
          </w:p>
        </w:tc>
        <w:tc>
          <w:tcPr>
            <w:tcW w:w="2356" w:type="dxa"/>
            <w:tcMar>
              <w:top w:w="90" w:type="dxa"/>
              <w:left w:w="120" w:type="dxa"/>
              <w:bottom w:w="90" w:type="dxa"/>
              <w:right w:w="120" w:type="dxa"/>
            </w:tcMar>
            <w:vAlign w:val="center"/>
          </w:tcPr>
          <w:p w14:paraId="6EB36956"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$16.56</w:t>
            </w:r>
          </w:p>
        </w:tc>
        <w:tc>
          <w:tcPr>
            <w:tcW w:w="2356" w:type="dxa"/>
            <w:tcMar>
              <w:top w:w="90" w:type="dxa"/>
              <w:left w:w="120" w:type="dxa"/>
              <w:bottom w:w="90" w:type="dxa"/>
              <w:right w:w="120" w:type="dxa"/>
            </w:tcMar>
            <w:vAlign w:val="center"/>
          </w:tcPr>
          <w:p w14:paraId="6EB36957"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$11.46</w:t>
            </w:r>
          </w:p>
        </w:tc>
        <w:tc>
          <w:tcPr>
            <w:tcW w:w="2356" w:type="dxa"/>
            <w:tcMar>
              <w:top w:w="90" w:type="dxa"/>
              <w:left w:w="120" w:type="dxa"/>
              <w:bottom w:w="90" w:type="dxa"/>
              <w:right w:w="120" w:type="dxa"/>
            </w:tcMar>
            <w:vAlign w:val="center"/>
          </w:tcPr>
          <w:p w14:paraId="6EB36958"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−30.8%</w:t>
            </w:r>
          </w:p>
        </w:tc>
      </w:tr>
      <w:tr w:rsidR="00813CB8" w:rsidRPr="00312B84" w14:paraId="6EB3695E" w14:textId="77777777">
        <w:trPr>
          <w:cantSplit/>
        </w:trPr>
        <w:tc>
          <w:tcPr>
            <w:tcW w:w="3176" w:type="dxa"/>
            <w:shd w:val="clear" w:color="auto" w:fill="EEF2F6"/>
            <w:tcMar>
              <w:top w:w="90" w:type="dxa"/>
              <w:left w:w="120" w:type="dxa"/>
              <w:bottom w:w="90" w:type="dxa"/>
              <w:right w:w="120" w:type="dxa"/>
            </w:tcMar>
            <w:vAlign w:val="center"/>
          </w:tcPr>
          <w:p w14:paraId="6EB3695A" w14:textId="77777777" w:rsidR="00813CB8" w:rsidRPr="00312B84" w:rsidRDefault="002B4BED">
            <w:pPr>
              <w:spacing w:after="40"/>
              <w:rPr>
                <w:sz w:val="24"/>
                <w:szCs w:val="24"/>
              </w:rPr>
            </w:pPr>
            <w:r w:rsidRPr="00312B84">
              <w:rPr>
                <w:rFonts w:ascii="Arial" w:eastAsia="Arial" w:hAnsi="Arial" w:cs="Arial"/>
                <w:color w:val="22303C"/>
                <w:sz w:val="20"/>
                <w:szCs w:val="20"/>
              </w:rPr>
              <w:t>NOW — ServiceNow</w:t>
            </w:r>
          </w:p>
        </w:tc>
        <w:tc>
          <w:tcPr>
            <w:tcW w:w="2356" w:type="dxa"/>
            <w:tcMar>
              <w:top w:w="90" w:type="dxa"/>
              <w:left w:w="120" w:type="dxa"/>
              <w:bottom w:w="90" w:type="dxa"/>
              <w:right w:w="120" w:type="dxa"/>
            </w:tcMar>
            <w:vAlign w:val="center"/>
          </w:tcPr>
          <w:p w14:paraId="6EB3695B"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$201.47</w:t>
            </w:r>
          </w:p>
        </w:tc>
        <w:tc>
          <w:tcPr>
            <w:tcW w:w="2356" w:type="dxa"/>
            <w:tcMar>
              <w:top w:w="90" w:type="dxa"/>
              <w:left w:w="120" w:type="dxa"/>
              <w:bottom w:w="90" w:type="dxa"/>
              <w:right w:w="120" w:type="dxa"/>
            </w:tcMar>
            <w:vAlign w:val="center"/>
          </w:tcPr>
          <w:p w14:paraId="6EB3695C"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$124.00</w:t>
            </w:r>
          </w:p>
        </w:tc>
        <w:tc>
          <w:tcPr>
            <w:tcW w:w="2356" w:type="dxa"/>
            <w:tcMar>
              <w:top w:w="90" w:type="dxa"/>
              <w:left w:w="120" w:type="dxa"/>
              <w:bottom w:w="90" w:type="dxa"/>
              <w:right w:w="120" w:type="dxa"/>
            </w:tcMar>
            <w:vAlign w:val="center"/>
          </w:tcPr>
          <w:p w14:paraId="6EB3695D"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−38.5%</w:t>
            </w:r>
          </w:p>
        </w:tc>
      </w:tr>
      <w:tr w:rsidR="00813CB8" w:rsidRPr="00312B84" w14:paraId="6EB36963" w14:textId="77777777">
        <w:trPr>
          <w:cantSplit/>
        </w:trPr>
        <w:tc>
          <w:tcPr>
            <w:tcW w:w="3176" w:type="dxa"/>
            <w:shd w:val="clear" w:color="auto" w:fill="EEF2F6"/>
            <w:tcMar>
              <w:top w:w="90" w:type="dxa"/>
              <w:left w:w="120" w:type="dxa"/>
              <w:bottom w:w="90" w:type="dxa"/>
              <w:right w:w="120" w:type="dxa"/>
            </w:tcMar>
            <w:vAlign w:val="center"/>
          </w:tcPr>
          <w:p w14:paraId="6EB3695F" w14:textId="77777777" w:rsidR="00813CB8" w:rsidRPr="00312B84" w:rsidRDefault="002B4BED">
            <w:pPr>
              <w:spacing w:after="40"/>
              <w:rPr>
                <w:sz w:val="24"/>
                <w:szCs w:val="24"/>
              </w:rPr>
            </w:pPr>
            <w:r w:rsidRPr="00312B84">
              <w:rPr>
                <w:rFonts w:ascii="Arial" w:eastAsia="Arial" w:hAnsi="Arial" w:cs="Arial"/>
                <w:color w:val="22303C"/>
                <w:sz w:val="20"/>
                <w:szCs w:val="20"/>
              </w:rPr>
              <w:t>CRM — Salesforce</w:t>
            </w:r>
          </w:p>
        </w:tc>
        <w:tc>
          <w:tcPr>
            <w:tcW w:w="2356" w:type="dxa"/>
            <w:tcMar>
              <w:top w:w="90" w:type="dxa"/>
              <w:left w:w="120" w:type="dxa"/>
              <w:bottom w:w="90" w:type="dxa"/>
              <w:right w:w="120" w:type="dxa"/>
            </w:tcMar>
            <w:vAlign w:val="center"/>
          </w:tcPr>
          <w:p w14:paraId="6EB36960"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$266.91</w:t>
            </w:r>
          </w:p>
        </w:tc>
        <w:tc>
          <w:tcPr>
            <w:tcW w:w="2356" w:type="dxa"/>
            <w:tcMar>
              <w:top w:w="90" w:type="dxa"/>
              <w:left w:w="120" w:type="dxa"/>
              <w:bottom w:w="90" w:type="dxa"/>
              <w:right w:w="120" w:type="dxa"/>
            </w:tcMar>
            <w:vAlign w:val="center"/>
          </w:tcPr>
          <w:p w14:paraId="6EB36961"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$196.21</w:t>
            </w:r>
          </w:p>
        </w:tc>
        <w:tc>
          <w:tcPr>
            <w:tcW w:w="2356" w:type="dxa"/>
            <w:tcMar>
              <w:top w:w="90" w:type="dxa"/>
              <w:left w:w="120" w:type="dxa"/>
              <w:bottom w:w="90" w:type="dxa"/>
              <w:right w:w="120" w:type="dxa"/>
            </w:tcMar>
            <w:vAlign w:val="center"/>
          </w:tcPr>
          <w:p w14:paraId="6EB36962"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−26.5%</w:t>
            </w:r>
          </w:p>
        </w:tc>
      </w:tr>
      <w:tr w:rsidR="00813CB8" w:rsidRPr="00312B84" w14:paraId="6EB36968" w14:textId="77777777">
        <w:trPr>
          <w:cantSplit/>
        </w:trPr>
        <w:tc>
          <w:tcPr>
            <w:tcW w:w="3176" w:type="dxa"/>
            <w:shd w:val="clear" w:color="auto" w:fill="EEF2F6"/>
            <w:tcMar>
              <w:top w:w="90" w:type="dxa"/>
              <w:left w:w="120" w:type="dxa"/>
              <w:bottom w:w="90" w:type="dxa"/>
              <w:right w:w="120" w:type="dxa"/>
            </w:tcMar>
            <w:vAlign w:val="center"/>
          </w:tcPr>
          <w:p w14:paraId="6EB36964" w14:textId="77777777" w:rsidR="00813CB8" w:rsidRPr="00312B84" w:rsidRDefault="002B4BED">
            <w:pPr>
              <w:spacing w:after="40"/>
              <w:rPr>
                <w:sz w:val="24"/>
                <w:szCs w:val="24"/>
              </w:rPr>
            </w:pPr>
            <w:r w:rsidRPr="00312B84">
              <w:rPr>
                <w:rFonts w:ascii="Arial" w:eastAsia="Arial" w:hAnsi="Arial" w:cs="Arial"/>
                <w:color w:val="22303C"/>
                <w:sz w:val="20"/>
                <w:szCs w:val="20"/>
              </w:rPr>
              <w:t>ORCL — Oracle</w:t>
            </w:r>
          </w:p>
        </w:tc>
        <w:tc>
          <w:tcPr>
            <w:tcW w:w="2356" w:type="dxa"/>
            <w:tcMar>
              <w:top w:w="90" w:type="dxa"/>
              <w:left w:w="120" w:type="dxa"/>
              <w:bottom w:w="90" w:type="dxa"/>
              <w:right w:w="120" w:type="dxa"/>
            </w:tcMar>
            <w:vAlign w:val="center"/>
          </w:tcPr>
          <w:p w14:paraId="6EB36965"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$199.86</w:t>
            </w:r>
          </w:p>
        </w:tc>
        <w:tc>
          <w:tcPr>
            <w:tcW w:w="2356" w:type="dxa"/>
            <w:tcMar>
              <w:top w:w="90" w:type="dxa"/>
              <w:left w:w="120" w:type="dxa"/>
              <w:bottom w:w="90" w:type="dxa"/>
              <w:right w:w="120" w:type="dxa"/>
            </w:tcMar>
            <w:vAlign w:val="center"/>
          </w:tcPr>
          <w:p w14:paraId="6EB36966"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$150.52</w:t>
            </w:r>
          </w:p>
        </w:tc>
        <w:tc>
          <w:tcPr>
            <w:tcW w:w="2356" w:type="dxa"/>
            <w:tcMar>
              <w:top w:w="90" w:type="dxa"/>
              <w:left w:w="120" w:type="dxa"/>
              <w:bottom w:w="90" w:type="dxa"/>
              <w:right w:w="120" w:type="dxa"/>
            </w:tcMar>
            <w:vAlign w:val="center"/>
          </w:tcPr>
          <w:p w14:paraId="6EB36967"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−24.7%</w:t>
            </w:r>
          </w:p>
        </w:tc>
      </w:tr>
      <w:tr w:rsidR="00813CB8" w:rsidRPr="00312B84" w14:paraId="6EB3696D" w14:textId="77777777">
        <w:trPr>
          <w:cantSplit/>
        </w:trPr>
        <w:tc>
          <w:tcPr>
            <w:tcW w:w="3176" w:type="dxa"/>
            <w:shd w:val="clear" w:color="auto" w:fill="EEF2F6"/>
            <w:tcMar>
              <w:top w:w="90" w:type="dxa"/>
              <w:left w:w="120" w:type="dxa"/>
              <w:bottom w:w="90" w:type="dxa"/>
              <w:right w:w="120" w:type="dxa"/>
            </w:tcMar>
            <w:vAlign w:val="center"/>
          </w:tcPr>
          <w:p w14:paraId="6EB36969" w14:textId="77777777" w:rsidR="00813CB8" w:rsidRPr="00312B84" w:rsidRDefault="002B4BED">
            <w:pPr>
              <w:spacing w:after="40"/>
              <w:rPr>
                <w:sz w:val="24"/>
                <w:szCs w:val="24"/>
              </w:rPr>
            </w:pPr>
            <w:r w:rsidRPr="00312B84">
              <w:rPr>
                <w:rFonts w:ascii="Arial" w:eastAsia="Arial" w:hAnsi="Arial" w:cs="Arial"/>
                <w:color w:val="22303C"/>
                <w:sz w:val="20"/>
                <w:szCs w:val="20"/>
              </w:rPr>
              <w:t>BXSL — Blackstone Secured Lending</w:t>
            </w:r>
          </w:p>
        </w:tc>
        <w:tc>
          <w:tcPr>
            <w:tcW w:w="2356" w:type="dxa"/>
            <w:tcMar>
              <w:top w:w="90" w:type="dxa"/>
              <w:left w:w="120" w:type="dxa"/>
              <w:bottom w:w="90" w:type="dxa"/>
              <w:right w:w="120" w:type="dxa"/>
            </w:tcMar>
            <w:vAlign w:val="center"/>
          </w:tcPr>
          <w:p w14:paraId="6EB3696A"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$31.84</w:t>
            </w:r>
          </w:p>
        </w:tc>
        <w:tc>
          <w:tcPr>
            <w:tcW w:w="2356" w:type="dxa"/>
            <w:tcMar>
              <w:top w:w="90" w:type="dxa"/>
              <w:left w:w="120" w:type="dxa"/>
              <w:bottom w:w="90" w:type="dxa"/>
              <w:right w:w="120" w:type="dxa"/>
            </w:tcMar>
            <w:vAlign w:val="center"/>
          </w:tcPr>
          <w:p w14:paraId="6EB3696B"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$24.68</w:t>
            </w:r>
          </w:p>
        </w:tc>
        <w:tc>
          <w:tcPr>
            <w:tcW w:w="2356" w:type="dxa"/>
            <w:tcMar>
              <w:top w:w="90" w:type="dxa"/>
              <w:left w:w="120" w:type="dxa"/>
              <w:bottom w:w="90" w:type="dxa"/>
              <w:right w:w="120" w:type="dxa"/>
            </w:tcMar>
            <w:vAlign w:val="center"/>
          </w:tcPr>
          <w:p w14:paraId="6EB3696C"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−22.5%</w:t>
            </w:r>
          </w:p>
        </w:tc>
      </w:tr>
      <w:tr w:rsidR="00813CB8" w:rsidRPr="00312B84" w14:paraId="6EB36972" w14:textId="77777777">
        <w:trPr>
          <w:cantSplit/>
        </w:trPr>
        <w:tc>
          <w:tcPr>
            <w:tcW w:w="3176" w:type="dxa"/>
            <w:shd w:val="clear" w:color="auto" w:fill="EEF2F6"/>
            <w:tcMar>
              <w:top w:w="90" w:type="dxa"/>
              <w:left w:w="120" w:type="dxa"/>
              <w:bottom w:w="90" w:type="dxa"/>
              <w:right w:w="120" w:type="dxa"/>
            </w:tcMar>
            <w:vAlign w:val="center"/>
          </w:tcPr>
          <w:p w14:paraId="6EB3696E" w14:textId="77777777" w:rsidR="00813CB8" w:rsidRPr="00312B84" w:rsidRDefault="002B4BED">
            <w:pPr>
              <w:spacing w:after="40"/>
              <w:rPr>
                <w:sz w:val="24"/>
                <w:szCs w:val="24"/>
              </w:rPr>
            </w:pPr>
            <w:r w:rsidRPr="00312B84">
              <w:rPr>
                <w:rFonts w:ascii="Arial" w:eastAsia="Arial" w:hAnsi="Arial" w:cs="Arial"/>
                <w:color w:val="22303C"/>
                <w:sz w:val="20"/>
                <w:szCs w:val="20"/>
              </w:rPr>
              <w:t>OBDC — Blue Owl Capital Corp</w:t>
            </w:r>
          </w:p>
        </w:tc>
        <w:tc>
          <w:tcPr>
            <w:tcW w:w="2356" w:type="dxa"/>
            <w:tcMar>
              <w:top w:w="90" w:type="dxa"/>
              <w:left w:w="120" w:type="dxa"/>
              <w:bottom w:w="90" w:type="dxa"/>
              <w:right w:w="120" w:type="dxa"/>
            </w:tcMar>
            <w:vAlign w:val="center"/>
          </w:tcPr>
          <w:p w14:paraId="6EB3696F"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$14.75</w:t>
            </w:r>
          </w:p>
        </w:tc>
        <w:tc>
          <w:tcPr>
            <w:tcW w:w="2356" w:type="dxa"/>
            <w:tcMar>
              <w:top w:w="90" w:type="dxa"/>
              <w:left w:w="120" w:type="dxa"/>
              <w:bottom w:w="90" w:type="dxa"/>
              <w:right w:w="120" w:type="dxa"/>
            </w:tcMar>
            <w:vAlign w:val="center"/>
          </w:tcPr>
          <w:p w14:paraId="6EB36970"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$11.72</w:t>
            </w:r>
          </w:p>
        </w:tc>
        <w:tc>
          <w:tcPr>
            <w:tcW w:w="2356" w:type="dxa"/>
            <w:tcMar>
              <w:top w:w="90" w:type="dxa"/>
              <w:left w:w="120" w:type="dxa"/>
              <w:bottom w:w="90" w:type="dxa"/>
              <w:right w:w="120" w:type="dxa"/>
            </w:tcMar>
            <w:vAlign w:val="center"/>
          </w:tcPr>
          <w:p w14:paraId="6EB36971"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−20.5%</w:t>
            </w:r>
          </w:p>
        </w:tc>
      </w:tr>
      <w:tr w:rsidR="00813CB8" w:rsidRPr="00312B84" w14:paraId="6EB36977" w14:textId="77777777">
        <w:trPr>
          <w:cantSplit/>
        </w:trPr>
        <w:tc>
          <w:tcPr>
            <w:tcW w:w="3176" w:type="dxa"/>
            <w:shd w:val="clear" w:color="auto" w:fill="EEF2F6"/>
            <w:tcMar>
              <w:top w:w="90" w:type="dxa"/>
              <w:left w:w="120" w:type="dxa"/>
              <w:bottom w:w="90" w:type="dxa"/>
              <w:right w:w="120" w:type="dxa"/>
            </w:tcMar>
            <w:vAlign w:val="center"/>
          </w:tcPr>
          <w:p w14:paraId="6EB36973" w14:textId="77777777" w:rsidR="00813CB8" w:rsidRPr="00312B84" w:rsidRDefault="002B4BED">
            <w:pPr>
              <w:spacing w:after="40"/>
              <w:rPr>
                <w:sz w:val="24"/>
                <w:szCs w:val="24"/>
              </w:rPr>
            </w:pPr>
            <w:r w:rsidRPr="00312B84">
              <w:rPr>
                <w:rFonts w:ascii="Arial" w:eastAsia="Arial" w:hAnsi="Arial" w:cs="Arial"/>
                <w:color w:val="22303C"/>
                <w:sz w:val="20"/>
                <w:szCs w:val="20"/>
              </w:rPr>
              <w:t>TSLX — Sixth Street Specialty Lending</w:t>
            </w:r>
          </w:p>
        </w:tc>
        <w:tc>
          <w:tcPr>
            <w:tcW w:w="2356" w:type="dxa"/>
            <w:tcMar>
              <w:top w:w="90" w:type="dxa"/>
              <w:left w:w="120" w:type="dxa"/>
              <w:bottom w:w="90" w:type="dxa"/>
              <w:right w:w="120" w:type="dxa"/>
            </w:tcMar>
            <w:vAlign w:val="center"/>
          </w:tcPr>
          <w:p w14:paraId="6EB36974"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$23.50</w:t>
            </w:r>
          </w:p>
        </w:tc>
        <w:tc>
          <w:tcPr>
            <w:tcW w:w="2356" w:type="dxa"/>
            <w:tcMar>
              <w:top w:w="90" w:type="dxa"/>
              <w:left w:w="120" w:type="dxa"/>
              <w:bottom w:w="90" w:type="dxa"/>
              <w:right w:w="120" w:type="dxa"/>
            </w:tcMar>
            <w:vAlign w:val="center"/>
          </w:tcPr>
          <w:p w14:paraId="6EB36975"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$18.77</w:t>
            </w:r>
          </w:p>
        </w:tc>
        <w:tc>
          <w:tcPr>
            <w:tcW w:w="2356" w:type="dxa"/>
            <w:tcMar>
              <w:top w:w="90" w:type="dxa"/>
              <w:left w:w="120" w:type="dxa"/>
              <w:bottom w:w="90" w:type="dxa"/>
              <w:right w:w="120" w:type="dxa"/>
            </w:tcMar>
            <w:vAlign w:val="center"/>
          </w:tcPr>
          <w:p w14:paraId="6EB36976"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−20.1%</w:t>
            </w:r>
          </w:p>
        </w:tc>
      </w:tr>
      <w:tr w:rsidR="00813CB8" w:rsidRPr="00312B84" w14:paraId="6EB3697C" w14:textId="77777777">
        <w:trPr>
          <w:cantSplit/>
        </w:trPr>
        <w:tc>
          <w:tcPr>
            <w:tcW w:w="3176" w:type="dxa"/>
            <w:shd w:val="clear" w:color="auto" w:fill="EEF2F6"/>
            <w:tcMar>
              <w:top w:w="90" w:type="dxa"/>
              <w:left w:w="120" w:type="dxa"/>
              <w:bottom w:w="90" w:type="dxa"/>
              <w:right w:w="120" w:type="dxa"/>
            </w:tcMar>
            <w:vAlign w:val="center"/>
          </w:tcPr>
          <w:p w14:paraId="6EB36978" w14:textId="77777777" w:rsidR="00813CB8" w:rsidRPr="00312B84" w:rsidRDefault="002B4BED">
            <w:pPr>
              <w:spacing w:after="40"/>
              <w:rPr>
                <w:sz w:val="24"/>
                <w:szCs w:val="24"/>
              </w:rPr>
            </w:pPr>
            <w:r w:rsidRPr="00312B84">
              <w:rPr>
                <w:rFonts w:ascii="Arial" w:eastAsia="Arial" w:hAnsi="Arial" w:cs="Arial"/>
                <w:color w:val="22303C"/>
                <w:sz w:val="20"/>
                <w:szCs w:val="20"/>
              </w:rPr>
              <w:t>GBDC — Golub Capital BDC</w:t>
            </w:r>
          </w:p>
        </w:tc>
        <w:tc>
          <w:tcPr>
            <w:tcW w:w="2356" w:type="dxa"/>
            <w:tcMar>
              <w:top w:w="90" w:type="dxa"/>
              <w:left w:w="120" w:type="dxa"/>
              <w:bottom w:w="90" w:type="dxa"/>
              <w:right w:w="120" w:type="dxa"/>
            </w:tcMar>
            <w:vAlign w:val="center"/>
          </w:tcPr>
          <w:p w14:paraId="6EB36979"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$15.21</w:t>
            </w:r>
          </w:p>
        </w:tc>
        <w:tc>
          <w:tcPr>
            <w:tcW w:w="2356" w:type="dxa"/>
            <w:tcMar>
              <w:top w:w="90" w:type="dxa"/>
              <w:left w:w="120" w:type="dxa"/>
              <w:bottom w:w="90" w:type="dxa"/>
              <w:right w:w="120" w:type="dxa"/>
            </w:tcMar>
            <w:vAlign w:val="center"/>
          </w:tcPr>
          <w:p w14:paraId="6EB3697A"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$13.26</w:t>
            </w:r>
          </w:p>
        </w:tc>
        <w:tc>
          <w:tcPr>
            <w:tcW w:w="2356" w:type="dxa"/>
            <w:tcMar>
              <w:top w:w="90" w:type="dxa"/>
              <w:left w:w="120" w:type="dxa"/>
              <w:bottom w:w="90" w:type="dxa"/>
              <w:right w:w="120" w:type="dxa"/>
            </w:tcMar>
            <w:vAlign w:val="center"/>
          </w:tcPr>
          <w:p w14:paraId="6EB3697B"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−12.8%</w:t>
            </w:r>
          </w:p>
        </w:tc>
      </w:tr>
      <w:tr w:rsidR="00813CB8" w:rsidRPr="00312B84" w14:paraId="6EB36981" w14:textId="77777777">
        <w:trPr>
          <w:cantSplit/>
        </w:trPr>
        <w:tc>
          <w:tcPr>
            <w:tcW w:w="3176" w:type="dxa"/>
            <w:shd w:val="clear" w:color="auto" w:fill="EEF2F6"/>
            <w:tcMar>
              <w:top w:w="90" w:type="dxa"/>
              <w:left w:w="120" w:type="dxa"/>
              <w:bottom w:w="90" w:type="dxa"/>
              <w:right w:w="120" w:type="dxa"/>
            </w:tcMar>
            <w:vAlign w:val="center"/>
          </w:tcPr>
          <w:p w14:paraId="6EB3697D" w14:textId="77777777" w:rsidR="00813CB8" w:rsidRPr="00312B84" w:rsidRDefault="002B4BED">
            <w:pPr>
              <w:spacing w:after="40"/>
              <w:rPr>
                <w:sz w:val="24"/>
                <w:szCs w:val="24"/>
              </w:rPr>
            </w:pPr>
            <w:r w:rsidRPr="00312B84">
              <w:rPr>
                <w:rFonts w:ascii="Arial" w:eastAsia="Arial" w:hAnsi="Arial" w:cs="Arial"/>
                <w:color w:val="22303C"/>
                <w:sz w:val="20"/>
                <w:szCs w:val="20"/>
              </w:rPr>
              <w:t>ARCC — Ares Capital</w:t>
            </w:r>
          </w:p>
        </w:tc>
        <w:tc>
          <w:tcPr>
            <w:tcW w:w="2356" w:type="dxa"/>
            <w:tcMar>
              <w:top w:w="90" w:type="dxa"/>
              <w:left w:w="120" w:type="dxa"/>
              <w:bottom w:w="90" w:type="dxa"/>
              <w:right w:w="120" w:type="dxa"/>
            </w:tcMar>
            <w:vAlign w:val="center"/>
          </w:tcPr>
          <w:p w14:paraId="6EB3697E"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$22.28</w:t>
            </w:r>
          </w:p>
        </w:tc>
        <w:tc>
          <w:tcPr>
            <w:tcW w:w="2356" w:type="dxa"/>
            <w:tcMar>
              <w:top w:w="90" w:type="dxa"/>
              <w:left w:w="120" w:type="dxa"/>
              <w:bottom w:w="90" w:type="dxa"/>
              <w:right w:w="120" w:type="dxa"/>
            </w:tcMar>
            <w:vAlign w:val="center"/>
          </w:tcPr>
          <w:p w14:paraId="6EB3697F"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$19.87</w:t>
            </w:r>
          </w:p>
        </w:tc>
        <w:tc>
          <w:tcPr>
            <w:tcW w:w="2356" w:type="dxa"/>
            <w:tcMar>
              <w:top w:w="90" w:type="dxa"/>
              <w:left w:w="120" w:type="dxa"/>
              <w:bottom w:w="90" w:type="dxa"/>
              <w:right w:w="120" w:type="dxa"/>
            </w:tcMar>
            <w:vAlign w:val="center"/>
          </w:tcPr>
          <w:p w14:paraId="6EB36980"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−10.8%</w:t>
            </w:r>
          </w:p>
        </w:tc>
      </w:tr>
      <w:tr w:rsidR="00813CB8" w:rsidRPr="00312B84" w14:paraId="6EB36986" w14:textId="77777777">
        <w:trPr>
          <w:cantSplit/>
        </w:trPr>
        <w:tc>
          <w:tcPr>
            <w:tcW w:w="3176" w:type="dxa"/>
            <w:shd w:val="clear" w:color="auto" w:fill="EEF2F6"/>
            <w:tcMar>
              <w:top w:w="90" w:type="dxa"/>
              <w:left w:w="120" w:type="dxa"/>
              <w:bottom w:w="90" w:type="dxa"/>
              <w:right w:w="120" w:type="dxa"/>
            </w:tcMar>
            <w:vAlign w:val="center"/>
          </w:tcPr>
          <w:p w14:paraId="6EB36982" w14:textId="77777777" w:rsidR="00813CB8" w:rsidRPr="00312B84" w:rsidRDefault="002B4BED">
            <w:pPr>
              <w:spacing w:after="40"/>
              <w:rPr>
                <w:sz w:val="24"/>
                <w:szCs w:val="24"/>
              </w:rPr>
            </w:pPr>
            <w:r w:rsidRPr="00312B84">
              <w:rPr>
                <w:rFonts w:ascii="Arial" w:eastAsia="Arial" w:hAnsi="Arial" w:cs="Arial"/>
                <w:color w:val="22303C"/>
                <w:sz w:val="20"/>
                <w:szCs w:val="20"/>
              </w:rPr>
              <w:t>MSFT — Microsoft</w:t>
            </w:r>
          </w:p>
        </w:tc>
        <w:tc>
          <w:tcPr>
            <w:tcW w:w="2356" w:type="dxa"/>
            <w:tcMar>
              <w:top w:w="90" w:type="dxa"/>
              <w:left w:w="120" w:type="dxa"/>
              <w:bottom w:w="90" w:type="dxa"/>
              <w:right w:w="120" w:type="dxa"/>
            </w:tcMar>
            <w:vAlign w:val="center"/>
          </w:tcPr>
          <w:p w14:paraId="6EB36983"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$478.87</w:t>
            </w:r>
          </w:p>
        </w:tc>
        <w:tc>
          <w:tcPr>
            <w:tcW w:w="2356" w:type="dxa"/>
            <w:tcMar>
              <w:top w:w="90" w:type="dxa"/>
              <w:left w:w="120" w:type="dxa"/>
              <w:bottom w:w="90" w:type="dxa"/>
              <w:right w:w="120" w:type="dxa"/>
            </w:tcMar>
            <w:vAlign w:val="center"/>
          </w:tcPr>
          <w:p w14:paraId="6EB36984"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$495.40</w:t>
            </w:r>
          </w:p>
        </w:tc>
        <w:tc>
          <w:tcPr>
            <w:tcW w:w="2356" w:type="dxa"/>
            <w:tcMar>
              <w:top w:w="90" w:type="dxa"/>
              <w:left w:w="120" w:type="dxa"/>
              <w:bottom w:w="90" w:type="dxa"/>
              <w:right w:w="120" w:type="dxa"/>
            </w:tcMar>
            <w:vAlign w:val="center"/>
          </w:tcPr>
          <w:p w14:paraId="6EB36985" w14:textId="77777777" w:rsidR="00813CB8" w:rsidRPr="00312B84" w:rsidRDefault="002B4BED">
            <w:pPr>
              <w:spacing w:after="40"/>
              <w:jc w:val="center"/>
              <w:rPr>
                <w:sz w:val="24"/>
                <w:szCs w:val="24"/>
              </w:rPr>
            </w:pPr>
            <w:r w:rsidRPr="00312B84">
              <w:rPr>
                <w:rFonts w:ascii="Arial" w:eastAsia="Arial" w:hAnsi="Arial" w:cs="Arial"/>
                <w:color w:val="22303C"/>
                <w:sz w:val="20"/>
                <w:szCs w:val="20"/>
              </w:rPr>
              <w:t>+3.5%</w:t>
            </w:r>
          </w:p>
        </w:tc>
      </w:tr>
    </w:tbl>
    <w:p w14:paraId="6EB36987" w14:textId="77777777" w:rsidR="00813CB8" w:rsidRPr="00312B84" w:rsidRDefault="002B4BED">
      <w:pPr>
        <w:spacing w:after="200"/>
        <w:ind w:left="200"/>
        <w:rPr>
          <w:sz w:val="24"/>
          <w:szCs w:val="24"/>
        </w:rPr>
      </w:pPr>
      <w:r w:rsidRPr="00312B84">
        <w:rPr>
          <w:rFonts w:ascii="Arial" w:eastAsia="Arial" w:hAnsi="Arial" w:cs="Arial"/>
          <w:i/>
          <w:iCs/>
          <w:color w:val="5A6B7B"/>
          <w:sz w:val="13"/>
          <w:szCs w:val="13"/>
        </w:rPr>
        <w:t>Closing prices, unadjusted for dividends; OTF first, peers ranked by drawdown. Source: exchange closing prices via stockanalysis.com</w:t>
      </w:r>
    </w:p>
    <w:p w14:paraId="6EB36988" w14:textId="77777777" w:rsidR="00813CB8" w:rsidRPr="00312B84" w:rsidRDefault="002B4BED">
      <w:pPr>
        <w:spacing w:after="120"/>
        <w:ind w:left="200"/>
        <w:jc w:val="both"/>
        <w:rPr>
          <w:sz w:val="24"/>
          <w:szCs w:val="24"/>
        </w:rPr>
      </w:pPr>
      <w:r w:rsidRPr="00312B84">
        <w:rPr>
          <w:rFonts w:eastAsia="Calibri Light"/>
          <w:color w:val="000000"/>
          <w:sz w:val="24"/>
          <w:szCs w:val="24"/>
        </w:rPr>
        <w:t>OTF remains the worst performer in the BDC cohort by roughly 8pp and sits below every software name except ServiceNow, despite a NAV that fell only about 4% over the same period.</w:t>
      </w:r>
    </w:p>
    <w:p w14:paraId="6EB36989" w14:textId="77777777" w:rsidR="00813CB8" w:rsidRPr="00312B84" w:rsidRDefault="00813CB8">
      <w:pPr>
        <w:rPr>
          <w:sz w:val="24"/>
          <w:szCs w:val="24"/>
        </w:rPr>
        <w:sectPr w:rsidR="00813CB8" w:rsidRPr="00312B84" w:rsidSect="004D0DF4">
          <w:headerReference w:type="default" r:id="rId40"/>
          <w:footerReference w:type="default" r:id="rId41"/>
          <w:headerReference w:type="first" r:id="rId42"/>
          <w:footerReference w:type="first" r:id="rId43"/>
          <w:pgSz w:w="11906" w:h="16838" w:code="9"/>
          <w:pgMar w:top="1280" w:right="832" w:bottom="600" w:left="830" w:header="440" w:footer="300" w:gutter="0"/>
          <w:cols w:space="720"/>
          <w:titlePg/>
          <w:docGrid w:linePitch="435"/>
        </w:sectPr>
      </w:pPr>
    </w:p>
    <w:p w14:paraId="6EB3698A" w14:textId="77777777" w:rsidR="00813CB8" w:rsidRPr="00312B84" w:rsidRDefault="002B4BED">
      <w:pPr>
        <w:pStyle w:val="2"/>
        <w:spacing w:before="560" w:after="140"/>
        <w:rPr>
          <w:sz w:val="22"/>
          <w:szCs w:val="22"/>
        </w:rPr>
      </w:pPr>
      <w:r w:rsidRPr="00312B84">
        <w:rPr>
          <w:rFonts w:eastAsia="Calibri Light"/>
          <w:color w:val="001F5F"/>
          <w:sz w:val="40"/>
          <w:szCs w:val="40"/>
        </w:rPr>
        <w:lastRenderedPageBreak/>
        <w:t>2.6 Competitor analysis</w:t>
      </w:r>
    </w:p>
    <w:p w14:paraId="6EB3698B" w14:textId="77777777" w:rsidR="00813CB8" w:rsidRPr="00312B84" w:rsidRDefault="002B4BED">
      <w:pPr>
        <w:pStyle w:val="3"/>
        <w:spacing w:before="200" w:after="100"/>
        <w:ind w:left="110"/>
        <w:rPr>
          <w:sz w:val="21"/>
          <w:szCs w:val="21"/>
        </w:rPr>
      </w:pPr>
      <w:r w:rsidRPr="00312B84">
        <w:rPr>
          <w:rFonts w:eastAsia="Calibri Light"/>
          <w:color w:val="001F5F"/>
          <w:sz w:val="28"/>
          <w:szCs w:val="28"/>
        </w:rPr>
        <w:t>2.6.1 BDC competitor analysis</w:t>
      </w:r>
    </w:p>
    <w:p w14:paraId="6EB3698C" w14:textId="77777777" w:rsidR="00813CB8" w:rsidRPr="00312B84" w:rsidRDefault="002B4BED">
      <w:pPr>
        <w:spacing w:after="120"/>
        <w:ind w:left="200"/>
        <w:jc w:val="both"/>
        <w:rPr>
          <w:sz w:val="24"/>
          <w:szCs w:val="24"/>
        </w:rPr>
      </w:pPr>
      <w:r w:rsidRPr="00312B84">
        <w:rPr>
          <w:rFonts w:eastAsia="Calibri Light"/>
          <w:b/>
          <w:bCs/>
          <w:color w:val="000000"/>
          <w:sz w:val="24"/>
          <w:szCs w:val="24"/>
        </w:rPr>
        <w:t xml:space="preserve">This quarter confirms that the sector's NAV drawdown is a valuation reset, not yet a credit-cycle break — but the credit dispersion beneath it widened materially. </w:t>
      </w:r>
      <w:r w:rsidRPr="00312B84">
        <w:rPr>
          <w:rFonts w:eastAsia="Calibri Light"/>
          <w:color w:val="000000"/>
          <w:sz w:val="24"/>
          <w:szCs w:val="24"/>
        </w:rPr>
        <w:t xml:space="preserve">Every one of the six NAVs fell or held over the first half with the declines still dominated by spread marks — ARCC's Q2 NAV slipped 1.2% while its NII covered the dividend at 104%, and TSLX and GBDC earned their reset payouts in full — yet the quarter also produced the cycle's first genuinely idiosyncratic credit prints: BXSL's cost-basis non-accruals jumped from 0.6% to 3.6% almost entirely on Medallia, GBDC's reached 2.9% across twenty issuers including preferred positions, and three of the six cut distributions. </w:t>
      </w:r>
    </w:p>
    <w:p w14:paraId="6EB3698D" w14:textId="77777777" w:rsidR="00813CB8" w:rsidRPr="00312B84" w:rsidRDefault="002B4BED">
      <w:pPr>
        <w:spacing w:after="120"/>
        <w:ind w:left="200"/>
        <w:jc w:val="both"/>
        <w:rPr>
          <w:sz w:val="24"/>
          <w:szCs w:val="24"/>
        </w:rPr>
      </w:pPr>
      <w:r w:rsidRPr="00312B84">
        <w:rPr>
          <w:rFonts w:eastAsia="Calibri Light"/>
          <w:b/>
          <w:bCs/>
          <w:color w:val="000000"/>
          <w:sz w:val="24"/>
          <w:szCs w:val="24"/>
        </w:rPr>
        <w:t xml:space="preserve">Two layers should be read separately: the NAV drawdown is sector beta that all six share, while the price discount dispersion — 0.70x at OTF against 1.16x at TSLX — is priced off each fund's software concentration, dividend policy and credit outliers. </w:t>
      </w:r>
      <w:r w:rsidRPr="00312B84">
        <w:rPr>
          <w:rFonts w:eastAsia="Calibri Light"/>
          <w:color w:val="000000"/>
          <w:sz w:val="24"/>
          <w:szCs w:val="24"/>
        </w:rPr>
        <w:t>The opportunity, if any, sits in that discount dispersion rather than in the NAV line itself: OTF carries the widest discount of the six against the cleanest reported credit book, which is either the market correctly pricing its unmatched application-software concentration ahead of realized losses, or the residual mispricing this report has tracked since listing.</w:t>
      </w:r>
    </w:p>
    <w:tbl>
      <w:tblPr>
        <w:tblW w:w="15176"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CellMar>
          <w:left w:w="10" w:type="dxa"/>
          <w:right w:w="10" w:type="dxa"/>
        </w:tblCellMar>
        <w:tblLook w:val="04A0" w:firstRow="1" w:lastRow="0" w:firstColumn="1" w:lastColumn="0" w:noHBand="0" w:noVBand="1"/>
      </w:tblPr>
      <w:tblGrid>
        <w:gridCol w:w="1290"/>
        <w:gridCol w:w="2314"/>
        <w:gridCol w:w="2314"/>
        <w:gridCol w:w="2314"/>
        <w:gridCol w:w="2314"/>
        <w:gridCol w:w="2314"/>
        <w:gridCol w:w="2316"/>
      </w:tblGrid>
      <w:tr w:rsidR="00813CB8" w:rsidRPr="00312B84" w14:paraId="6EB36995" w14:textId="77777777">
        <w:trPr>
          <w:cantSplit/>
          <w:tblHeader/>
        </w:trPr>
        <w:tc>
          <w:tcPr>
            <w:tcW w:w="1290" w:type="dxa"/>
            <w:shd w:val="clear" w:color="auto" w:fill="1F3B5B"/>
            <w:tcMar>
              <w:top w:w="90" w:type="dxa"/>
              <w:left w:w="120" w:type="dxa"/>
              <w:bottom w:w="90" w:type="dxa"/>
              <w:right w:w="120" w:type="dxa"/>
            </w:tcMar>
            <w:vAlign w:val="center"/>
          </w:tcPr>
          <w:p w14:paraId="6EB3698E" w14:textId="77777777" w:rsidR="00813CB8" w:rsidRPr="00312B84" w:rsidRDefault="00813CB8">
            <w:pPr>
              <w:spacing w:after="40"/>
              <w:rPr>
                <w:sz w:val="24"/>
                <w:szCs w:val="24"/>
              </w:rPr>
            </w:pPr>
          </w:p>
        </w:tc>
        <w:tc>
          <w:tcPr>
            <w:tcW w:w="2314" w:type="dxa"/>
            <w:shd w:val="clear" w:color="auto" w:fill="1F3B5B"/>
            <w:tcMar>
              <w:top w:w="90" w:type="dxa"/>
              <w:left w:w="120" w:type="dxa"/>
              <w:bottom w:w="90" w:type="dxa"/>
              <w:right w:w="120" w:type="dxa"/>
            </w:tcMar>
            <w:vAlign w:val="center"/>
          </w:tcPr>
          <w:p w14:paraId="6EB3698F" w14:textId="77777777" w:rsidR="00813CB8" w:rsidRPr="00312B84" w:rsidRDefault="002B4BED">
            <w:pPr>
              <w:spacing w:after="40"/>
              <w:jc w:val="center"/>
              <w:rPr>
                <w:sz w:val="24"/>
                <w:szCs w:val="24"/>
              </w:rPr>
            </w:pPr>
            <w:r w:rsidRPr="00312B84">
              <w:rPr>
                <w:rFonts w:ascii="Arial" w:eastAsia="Arial" w:hAnsi="Arial" w:cs="Arial"/>
                <w:b/>
                <w:bCs/>
                <w:color w:val="FFFFFF"/>
                <w:sz w:val="15"/>
                <w:szCs w:val="15"/>
              </w:rPr>
              <w:t>OTF — Blue Owl Technology Finance</w:t>
            </w:r>
          </w:p>
        </w:tc>
        <w:tc>
          <w:tcPr>
            <w:tcW w:w="2314" w:type="dxa"/>
            <w:shd w:val="clear" w:color="auto" w:fill="1F3B5B"/>
            <w:tcMar>
              <w:top w:w="90" w:type="dxa"/>
              <w:left w:w="120" w:type="dxa"/>
              <w:bottom w:w="90" w:type="dxa"/>
              <w:right w:w="120" w:type="dxa"/>
            </w:tcMar>
            <w:vAlign w:val="center"/>
          </w:tcPr>
          <w:p w14:paraId="6EB36990" w14:textId="77777777" w:rsidR="00813CB8" w:rsidRPr="00312B84" w:rsidRDefault="002B4BED">
            <w:pPr>
              <w:spacing w:after="40"/>
              <w:jc w:val="center"/>
              <w:rPr>
                <w:sz w:val="24"/>
                <w:szCs w:val="24"/>
              </w:rPr>
            </w:pPr>
            <w:r w:rsidRPr="00312B84">
              <w:rPr>
                <w:rFonts w:ascii="Arial" w:eastAsia="Arial" w:hAnsi="Arial" w:cs="Arial"/>
                <w:b/>
                <w:bCs/>
                <w:color w:val="FFFFFF"/>
                <w:sz w:val="15"/>
                <w:szCs w:val="15"/>
              </w:rPr>
              <w:t>ARCC — Ares Capital</w:t>
            </w:r>
          </w:p>
        </w:tc>
        <w:tc>
          <w:tcPr>
            <w:tcW w:w="2314" w:type="dxa"/>
            <w:shd w:val="clear" w:color="auto" w:fill="1F3B5B"/>
            <w:tcMar>
              <w:top w:w="90" w:type="dxa"/>
              <w:left w:w="120" w:type="dxa"/>
              <w:bottom w:w="90" w:type="dxa"/>
              <w:right w:w="120" w:type="dxa"/>
            </w:tcMar>
            <w:vAlign w:val="center"/>
          </w:tcPr>
          <w:p w14:paraId="6EB36991" w14:textId="77777777" w:rsidR="00813CB8" w:rsidRPr="00312B84" w:rsidRDefault="002B4BED">
            <w:pPr>
              <w:spacing w:after="40"/>
              <w:jc w:val="center"/>
              <w:rPr>
                <w:sz w:val="24"/>
                <w:szCs w:val="24"/>
              </w:rPr>
            </w:pPr>
            <w:r w:rsidRPr="00312B84">
              <w:rPr>
                <w:rFonts w:ascii="Arial" w:eastAsia="Arial" w:hAnsi="Arial" w:cs="Arial"/>
                <w:b/>
                <w:bCs/>
                <w:color w:val="FFFFFF"/>
                <w:sz w:val="15"/>
                <w:szCs w:val="15"/>
              </w:rPr>
              <w:t>BXSL — Blackstone Secured Lending</w:t>
            </w:r>
          </w:p>
        </w:tc>
        <w:tc>
          <w:tcPr>
            <w:tcW w:w="2314" w:type="dxa"/>
            <w:shd w:val="clear" w:color="auto" w:fill="1F3B5B"/>
            <w:tcMar>
              <w:top w:w="90" w:type="dxa"/>
              <w:left w:w="120" w:type="dxa"/>
              <w:bottom w:w="90" w:type="dxa"/>
              <w:right w:w="120" w:type="dxa"/>
            </w:tcMar>
            <w:vAlign w:val="center"/>
          </w:tcPr>
          <w:p w14:paraId="6EB36992" w14:textId="77777777" w:rsidR="00813CB8" w:rsidRPr="00312B84" w:rsidRDefault="002B4BED">
            <w:pPr>
              <w:spacing w:after="40"/>
              <w:jc w:val="center"/>
              <w:rPr>
                <w:sz w:val="24"/>
                <w:szCs w:val="24"/>
              </w:rPr>
            </w:pPr>
            <w:r w:rsidRPr="00312B84">
              <w:rPr>
                <w:rFonts w:ascii="Arial" w:eastAsia="Arial" w:hAnsi="Arial" w:cs="Arial"/>
                <w:b/>
                <w:bCs/>
                <w:color w:val="FFFFFF"/>
                <w:sz w:val="15"/>
                <w:szCs w:val="15"/>
              </w:rPr>
              <w:t>OBDC — Blue Owl Capital Corp</w:t>
            </w:r>
          </w:p>
        </w:tc>
        <w:tc>
          <w:tcPr>
            <w:tcW w:w="2314" w:type="dxa"/>
            <w:shd w:val="clear" w:color="auto" w:fill="1F3B5B"/>
            <w:tcMar>
              <w:top w:w="90" w:type="dxa"/>
              <w:left w:w="120" w:type="dxa"/>
              <w:bottom w:w="90" w:type="dxa"/>
              <w:right w:w="120" w:type="dxa"/>
            </w:tcMar>
            <w:vAlign w:val="center"/>
          </w:tcPr>
          <w:p w14:paraId="6EB36993" w14:textId="77777777" w:rsidR="00813CB8" w:rsidRPr="00312B84" w:rsidRDefault="002B4BED">
            <w:pPr>
              <w:spacing w:after="40"/>
              <w:jc w:val="center"/>
              <w:rPr>
                <w:sz w:val="24"/>
                <w:szCs w:val="24"/>
              </w:rPr>
            </w:pPr>
            <w:r w:rsidRPr="00312B84">
              <w:rPr>
                <w:rFonts w:ascii="Arial" w:eastAsia="Arial" w:hAnsi="Arial" w:cs="Arial"/>
                <w:b/>
                <w:bCs/>
                <w:color w:val="FFFFFF"/>
                <w:sz w:val="15"/>
                <w:szCs w:val="15"/>
              </w:rPr>
              <w:t>TSLX — Sixth Street Specialty Lending</w:t>
            </w:r>
          </w:p>
        </w:tc>
        <w:tc>
          <w:tcPr>
            <w:tcW w:w="2316" w:type="dxa"/>
            <w:shd w:val="clear" w:color="auto" w:fill="1F3B5B"/>
            <w:tcMar>
              <w:top w:w="90" w:type="dxa"/>
              <w:left w:w="120" w:type="dxa"/>
              <w:bottom w:w="90" w:type="dxa"/>
              <w:right w:w="120" w:type="dxa"/>
            </w:tcMar>
            <w:vAlign w:val="center"/>
          </w:tcPr>
          <w:p w14:paraId="6EB36994" w14:textId="77777777" w:rsidR="00813CB8" w:rsidRPr="00312B84" w:rsidRDefault="002B4BED">
            <w:pPr>
              <w:spacing w:after="40"/>
              <w:jc w:val="center"/>
              <w:rPr>
                <w:sz w:val="24"/>
                <w:szCs w:val="24"/>
              </w:rPr>
            </w:pPr>
            <w:r w:rsidRPr="00312B84">
              <w:rPr>
                <w:rFonts w:ascii="Arial" w:eastAsia="Arial" w:hAnsi="Arial" w:cs="Arial"/>
                <w:b/>
                <w:bCs/>
                <w:color w:val="FFFFFF"/>
                <w:sz w:val="15"/>
                <w:szCs w:val="15"/>
              </w:rPr>
              <w:t>GBDC — Golub Capital BDC</w:t>
            </w:r>
          </w:p>
        </w:tc>
      </w:tr>
      <w:tr w:rsidR="00813CB8" w:rsidRPr="00312B84" w14:paraId="6EB369AF" w14:textId="77777777">
        <w:trPr>
          <w:cantSplit/>
        </w:trPr>
        <w:tc>
          <w:tcPr>
            <w:tcW w:w="1290" w:type="dxa"/>
            <w:shd w:val="clear" w:color="auto" w:fill="EEF2F6"/>
            <w:tcMar>
              <w:top w:w="90" w:type="dxa"/>
              <w:left w:w="120" w:type="dxa"/>
              <w:bottom w:w="90" w:type="dxa"/>
              <w:right w:w="120" w:type="dxa"/>
            </w:tcMar>
            <w:vAlign w:val="center"/>
          </w:tcPr>
          <w:p w14:paraId="6EB36996" w14:textId="77777777" w:rsidR="00813CB8" w:rsidRPr="00312B84" w:rsidRDefault="002B4BED">
            <w:pPr>
              <w:spacing w:after="40"/>
              <w:rPr>
                <w:sz w:val="24"/>
                <w:szCs w:val="24"/>
              </w:rPr>
            </w:pPr>
            <w:r w:rsidRPr="00312B84">
              <w:rPr>
                <w:rFonts w:ascii="Arial" w:eastAsia="Arial" w:hAnsi="Arial" w:cs="Arial"/>
                <w:b/>
                <w:bCs/>
                <w:color w:val="22303C"/>
                <w:sz w:val="15"/>
                <w:szCs w:val="15"/>
              </w:rPr>
              <w:t>Underlying assets</w:t>
            </w:r>
          </w:p>
        </w:tc>
        <w:tc>
          <w:tcPr>
            <w:tcW w:w="2314" w:type="dxa"/>
            <w:tcMar>
              <w:top w:w="90" w:type="dxa"/>
              <w:left w:w="120" w:type="dxa"/>
              <w:bottom w:w="90" w:type="dxa"/>
              <w:right w:w="120" w:type="dxa"/>
            </w:tcMar>
            <w:vAlign w:val="center"/>
          </w:tcPr>
          <w:p w14:paraId="6EB36997" w14:textId="77777777" w:rsidR="00813CB8" w:rsidRPr="00312B84" w:rsidRDefault="002B4BED">
            <w:pPr>
              <w:spacing w:after="40"/>
              <w:rPr>
                <w:sz w:val="24"/>
                <w:szCs w:val="24"/>
              </w:rPr>
            </w:pPr>
            <w:r w:rsidRPr="00312B84">
              <w:rPr>
                <w:rFonts w:ascii="Arial" w:eastAsia="Arial" w:hAnsi="Arial" w:cs="Arial"/>
                <w:color w:val="22303C"/>
                <w:sz w:val="15"/>
                <w:szCs w:val="15"/>
              </w:rPr>
              <w:t>•  $14.7bn FV, 205 cos; largest tech-focused BDC</w:t>
            </w:r>
          </w:p>
          <w:p w14:paraId="6EB36998" w14:textId="77777777" w:rsidR="00813CB8" w:rsidRPr="00312B84" w:rsidRDefault="002B4BED">
            <w:pPr>
              <w:spacing w:after="40"/>
              <w:rPr>
                <w:sz w:val="24"/>
                <w:szCs w:val="24"/>
              </w:rPr>
            </w:pPr>
            <w:r w:rsidRPr="00312B84">
              <w:rPr>
                <w:rFonts w:ascii="Arial" w:eastAsia="Arial" w:hAnsi="Arial" w:cs="Arial"/>
                <w:color w:val="22303C"/>
                <w:sz w:val="15"/>
                <w:szCs w:val="15"/>
              </w:rPr>
              <w:t>•  First-lien 77.8%, senior secured 81.4%; ~96% floating</w:t>
            </w:r>
          </w:p>
          <w:p w14:paraId="6EB36999" w14:textId="77777777" w:rsidR="00813CB8" w:rsidRPr="00312B84" w:rsidRDefault="002B4BED">
            <w:pPr>
              <w:spacing w:after="40"/>
              <w:rPr>
                <w:sz w:val="24"/>
                <w:szCs w:val="24"/>
              </w:rPr>
            </w:pPr>
            <w:r w:rsidRPr="00312B84">
              <w:rPr>
                <w:rFonts w:ascii="Arial" w:eastAsia="Arial" w:hAnsi="Arial" w:cs="Arial"/>
                <w:color w:val="22303C"/>
                <w:sz w:val="15"/>
                <w:szCs w:val="15"/>
              </w:rPr>
              <w:t>•  Software 32.8% by GICS, ~50% tech-related — highest of six</w:t>
            </w:r>
          </w:p>
          <w:p w14:paraId="6EB3699A" w14:textId="77777777" w:rsidR="00813CB8" w:rsidRPr="00312B84" w:rsidRDefault="002B4BED">
            <w:pPr>
              <w:spacing w:after="40"/>
              <w:rPr>
                <w:sz w:val="24"/>
                <w:szCs w:val="24"/>
              </w:rPr>
            </w:pPr>
            <w:r w:rsidRPr="00312B84">
              <w:rPr>
                <w:rFonts w:ascii="Arial" w:eastAsia="Arial" w:hAnsi="Arial" w:cs="Arial"/>
                <w:color w:val="22303C"/>
                <w:sz w:val="15"/>
                <w:szCs w:val="15"/>
              </w:rPr>
              <w:t>•  NAV $16.48, flat QoQ</w:t>
            </w:r>
          </w:p>
        </w:tc>
        <w:tc>
          <w:tcPr>
            <w:tcW w:w="2314" w:type="dxa"/>
            <w:tcMar>
              <w:top w:w="90" w:type="dxa"/>
              <w:left w:w="120" w:type="dxa"/>
              <w:bottom w:w="90" w:type="dxa"/>
              <w:right w:w="120" w:type="dxa"/>
            </w:tcMar>
            <w:vAlign w:val="center"/>
          </w:tcPr>
          <w:p w14:paraId="6EB3699B" w14:textId="77777777" w:rsidR="00813CB8" w:rsidRPr="00312B84" w:rsidRDefault="002B4BED">
            <w:pPr>
              <w:spacing w:after="40"/>
              <w:rPr>
                <w:sz w:val="24"/>
                <w:szCs w:val="24"/>
              </w:rPr>
            </w:pPr>
            <w:r w:rsidRPr="00312B84">
              <w:rPr>
                <w:rFonts w:ascii="Arial" w:eastAsia="Arial" w:hAnsi="Arial" w:cs="Arial"/>
                <w:color w:val="22303C"/>
                <w:sz w:val="15"/>
                <w:szCs w:val="15"/>
              </w:rPr>
              <w:t>•  $29.3bn FV, 619 cos; largest and most diversified BDC</w:t>
            </w:r>
          </w:p>
          <w:p w14:paraId="6EB3699C" w14:textId="77777777" w:rsidR="00813CB8" w:rsidRPr="00312B84" w:rsidRDefault="002B4BED">
            <w:pPr>
              <w:spacing w:after="40"/>
              <w:rPr>
                <w:sz w:val="24"/>
                <w:szCs w:val="24"/>
              </w:rPr>
            </w:pPr>
            <w:r w:rsidRPr="00312B84">
              <w:rPr>
                <w:rFonts w:ascii="Arial" w:eastAsia="Arial" w:hAnsi="Arial" w:cs="Arial"/>
                <w:color w:val="22303C"/>
                <w:sz w:val="15"/>
                <w:szCs w:val="15"/>
              </w:rPr>
              <w:t>•  First-lien 59.1%; 71% floating; senior-loan JV adds 3.9%</w:t>
            </w:r>
          </w:p>
          <w:p w14:paraId="6EB3699D" w14:textId="77777777" w:rsidR="00813CB8" w:rsidRPr="00312B84" w:rsidRDefault="002B4BED">
            <w:pPr>
              <w:spacing w:after="40"/>
              <w:rPr>
                <w:sz w:val="24"/>
                <w:szCs w:val="24"/>
              </w:rPr>
            </w:pPr>
            <w:r w:rsidRPr="00312B84">
              <w:rPr>
                <w:rFonts w:ascii="Arial" w:eastAsia="Arial" w:hAnsi="Arial" w:cs="Arial"/>
                <w:color w:val="22303C"/>
                <w:sz w:val="15"/>
                <w:szCs w:val="15"/>
              </w:rPr>
              <w:t>•  Software &amp; services 22.0% of FV, down from 23.8%</w:t>
            </w:r>
          </w:p>
          <w:p w14:paraId="6EB3699E" w14:textId="77777777" w:rsidR="00813CB8" w:rsidRPr="00312B84" w:rsidRDefault="002B4BED">
            <w:pPr>
              <w:spacing w:after="40"/>
              <w:rPr>
                <w:sz w:val="24"/>
                <w:szCs w:val="24"/>
              </w:rPr>
            </w:pPr>
            <w:r w:rsidRPr="00312B84">
              <w:rPr>
                <w:rFonts w:ascii="Arial" w:eastAsia="Arial" w:hAnsi="Arial" w:cs="Arial"/>
                <w:color w:val="22303C"/>
                <w:sz w:val="15"/>
                <w:szCs w:val="15"/>
              </w:rPr>
              <w:t>•  NAV $19.35, −1.2% QoQ</w:t>
            </w:r>
          </w:p>
        </w:tc>
        <w:tc>
          <w:tcPr>
            <w:tcW w:w="2314" w:type="dxa"/>
            <w:tcMar>
              <w:top w:w="90" w:type="dxa"/>
              <w:left w:w="120" w:type="dxa"/>
              <w:bottom w:w="90" w:type="dxa"/>
              <w:right w:w="120" w:type="dxa"/>
            </w:tcMar>
            <w:vAlign w:val="center"/>
          </w:tcPr>
          <w:p w14:paraId="6EB3699F" w14:textId="77777777" w:rsidR="00813CB8" w:rsidRPr="00312B84" w:rsidRDefault="002B4BED">
            <w:pPr>
              <w:spacing w:after="40"/>
              <w:rPr>
                <w:sz w:val="24"/>
                <w:szCs w:val="24"/>
              </w:rPr>
            </w:pPr>
            <w:r w:rsidRPr="00312B84">
              <w:rPr>
                <w:rFonts w:ascii="Arial" w:eastAsia="Arial" w:hAnsi="Arial" w:cs="Arial"/>
                <w:color w:val="22303C"/>
                <w:sz w:val="15"/>
                <w:szCs w:val="15"/>
              </w:rPr>
              <w:t>•  $13.4bn FV, 313 cos</w:t>
            </w:r>
          </w:p>
          <w:p w14:paraId="6EB369A0" w14:textId="77777777" w:rsidR="00813CB8" w:rsidRPr="00312B84" w:rsidRDefault="002B4BED">
            <w:pPr>
              <w:spacing w:after="40"/>
              <w:rPr>
                <w:sz w:val="24"/>
                <w:szCs w:val="24"/>
              </w:rPr>
            </w:pPr>
            <w:r w:rsidRPr="00312B84">
              <w:rPr>
                <w:rFonts w:ascii="Arial" w:eastAsia="Arial" w:hAnsi="Arial" w:cs="Arial"/>
                <w:color w:val="22303C"/>
                <w:sz w:val="15"/>
                <w:szCs w:val="15"/>
              </w:rPr>
              <w:t>•  First-lien 96.8% — highest of six; 99.3% of performing debt floating</w:t>
            </w:r>
          </w:p>
          <w:p w14:paraId="6EB369A1" w14:textId="77777777" w:rsidR="00813CB8" w:rsidRPr="00312B84" w:rsidRDefault="002B4BED">
            <w:pPr>
              <w:spacing w:after="40"/>
              <w:rPr>
                <w:sz w:val="24"/>
                <w:szCs w:val="24"/>
              </w:rPr>
            </w:pPr>
            <w:r w:rsidRPr="00312B84">
              <w:rPr>
                <w:rFonts w:ascii="Arial" w:eastAsia="Arial" w:hAnsi="Arial" w:cs="Arial"/>
                <w:color w:val="22303C"/>
                <w:sz w:val="15"/>
                <w:szCs w:val="15"/>
              </w:rPr>
              <w:t>•  Software 18.9% plus IT services 4.7%</w:t>
            </w:r>
          </w:p>
          <w:p w14:paraId="6EB369A2" w14:textId="77777777" w:rsidR="00813CB8" w:rsidRPr="00312B84" w:rsidRDefault="002B4BED">
            <w:pPr>
              <w:spacing w:after="40"/>
              <w:rPr>
                <w:sz w:val="24"/>
                <w:szCs w:val="24"/>
              </w:rPr>
            </w:pPr>
            <w:r w:rsidRPr="00312B84">
              <w:rPr>
                <w:rFonts w:ascii="Arial" w:eastAsia="Arial" w:hAnsi="Arial" w:cs="Arial"/>
                <w:color w:val="22303C"/>
                <w:sz w:val="15"/>
                <w:szCs w:val="15"/>
              </w:rPr>
              <w:t>•  NAV $25.53, −5.2% over 1H26</w:t>
            </w:r>
          </w:p>
        </w:tc>
        <w:tc>
          <w:tcPr>
            <w:tcW w:w="2314" w:type="dxa"/>
            <w:tcMar>
              <w:top w:w="90" w:type="dxa"/>
              <w:left w:w="120" w:type="dxa"/>
              <w:bottom w:w="90" w:type="dxa"/>
              <w:right w:w="120" w:type="dxa"/>
            </w:tcMar>
            <w:vAlign w:val="center"/>
          </w:tcPr>
          <w:p w14:paraId="6EB369A3" w14:textId="77777777" w:rsidR="00813CB8" w:rsidRPr="00312B84" w:rsidRDefault="002B4BED">
            <w:pPr>
              <w:spacing w:after="40"/>
              <w:rPr>
                <w:sz w:val="24"/>
                <w:szCs w:val="24"/>
              </w:rPr>
            </w:pPr>
            <w:r w:rsidRPr="00312B84">
              <w:rPr>
                <w:rFonts w:ascii="Arial" w:eastAsia="Arial" w:hAnsi="Arial" w:cs="Arial"/>
                <w:color w:val="22303C"/>
                <w:sz w:val="15"/>
                <w:szCs w:val="15"/>
              </w:rPr>
              <w:t>•  $15.0bn FV, 229 cos; OTF's diversified sister vehicle — 63% issuer overlap per MS</w:t>
            </w:r>
          </w:p>
          <w:p w14:paraId="6EB369A4" w14:textId="77777777" w:rsidR="00813CB8" w:rsidRPr="00312B84" w:rsidRDefault="002B4BED">
            <w:pPr>
              <w:spacing w:after="40"/>
              <w:rPr>
                <w:sz w:val="24"/>
                <w:szCs w:val="24"/>
              </w:rPr>
            </w:pPr>
            <w:r w:rsidRPr="00312B84">
              <w:rPr>
                <w:rFonts w:ascii="Arial" w:eastAsia="Arial" w:hAnsi="Arial" w:cs="Arial"/>
                <w:color w:val="22303C"/>
                <w:sz w:val="15"/>
                <w:szCs w:val="15"/>
              </w:rPr>
              <w:t>•  First-lien 73.2%, senior secured 77.7%; 96% floating</w:t>
            </w:r>
          </w:p>
          <w:p w14:paraId="6EB369A5" w14:textId="77777777" w:rsidR="00813CB8" w:rsidRPr="00312B84" w:rsidRDefault="002B4BED">
            <w:pPr>
              <w:spacing w:after="40"/>
              <w:rPr>
                <w:sz w:val="24"/>
                <w:szCs w:val="24"/>
              </w:rPr>
            </w:pPr>
            <w:r w:rsidRPr="00312B84">
              <w:rPr>
                <w:rFonts w:ascii="Arial" w:eastAsia="Arial" w:hAnsi="Arial" w:cs="Arial"/>
                <w:color w:val="22303C"/>
                <w:sz w:val="15"/>
                <w:szCs w:val="15"/>
              </w:rPr>
              <w:t>•  Software ~18% of portfolio</w:t>
            </w:r>
          </w:p>
          <w:p w14:paraId="6EB369A6" w14:textId="77777777" w:rsidR="00813CB8" w:rsidRPr="00312B84" w:rsidRDefault="002B4BED">
            <w:pPr>
              <w:spacing w:after="40"/>
              <w:rPr>
                <w:sz w:val="24"/>
                <w:szCs w:val="24"/>
              </w:rPr>
            </w:pPr>
            <w:r w:rsidRPr="00312B84">
              <w:rPr>
                <w:rFonts w:ascii="Arial" w:eastAsia="Arial" w:hAnsi="Arial" w:cs="Arial"/>
                <w:color w:val="22303C"/>
                <w:sz w:val="15"/>
                <w:szCs w:val="15"/>
              </w:rPr>
              <w:t>•  NAV $14.26, −3.7% over 1H26</w:t>
            </w:r>
          </w:p>
        </w:tc>
        <w:tc>
          <w:tcPr>
            <w:tcW w:w="2314" w:type="dxa"/>
            <w:tcMar>
              <w:top w:w="90" w:type="dxa"/>
              <w:left w:w="120" w:type="dxa"/>
              <w:bottom w:w="90" w:type="dxa"/>
              <w:right w:w="120" w:type="dxa"/>
            </w:tcMar>
            <w:vAlign w:val="center"/>
          </w:tcPr>
          <w:p w14:paraId="6EB369A7" w14:textId="77777777" w:rsidR="00813CB8" w:rsidRPr="00312B84" w:rsidRDefault="002B4BED">
            <w:pPr>
              <w:spacing w:after="40"/>
              <w:rPr>
                <w:sz w:val="24"/>
                <w:szCs w:val="24"/>
              </w:rPr>
            </w:pPr>
            <w:r w:rsidRPr="00312B84">
              <w:rPr>
                <w:rFonts w:ascii="Arial" w:eastAsia="Arial" w:hAnsi="Arial" w:cs="Arial"/>
                <w:color w:val="22303C"/>
                <w:sz w:val="15"/>
                <w:szCs w:val="15"/>
              </w:rPr>
              <w:t>•  $3.3bn FV, 137 cos — the specialist of the group</w:t>
            </w:r>
          </w:p>
          <w:p w14:paraId="6EB369A8" w14:textId="77777777" w:rsidR="00813CB8" w:rsidRPr="00312B84" w:rsidRDefault="002B4BED">
            <w:pPr>
              <w:spacing w:after="40"/>
              <w:rPr>
                <w:sz w:val="24"/>
                <w:szCs w:val="24"/>
              </w:rPr>
            </w:pPr>
            <w:r w:rsidRPr="00312B84">
              <w:rPr>
                <w:rFonts w:ascii="Arial" w:eastAsia="Arial" w:hAnsi="Arial" w:cs="Arial"/>
                <w:color w:val="22303C"/>
                <w:sz w:val="15"/>
                <w:szCs w:val="15"/>
              </w:rPr>
              <w:t>•  First-lien 88.3%; 96.1% floating; 11.2% yield on debt, highest of six</w:t>
            </w:r>
          </w:p>
          <w:p w14:paraId="6EB369A9" w14:textId="77777777" w:rsidR="00813CB8" w:rsidRPr="00312B84" w:rsidRDefault="002B4BED">
            <w:pPr>
              <w:spacing w:after="40"/>
              <w:rPr>
                <w:sz w:val="24"/>
                <w:szCs w:val="24"/>
              </w:rPr>
            </w:pPr>
            <w:r w:rsidRPr="00312B84">
              <w:rPr>
                <w:rFonts w:ascii="Arial" w:eastAsia="Arial" w:hAnsi="Arial" w:cs="Arial"/>
                <w:color w:val="22303C"/>
                <w:sz w:val="15"/>
                <w:szCs w:val="15"/>
              </w:rPr>
              <w:t>•  Software not disclosed as a category; end-market classification</w:t>
            </w:r>
          </w:p>
          <w:p w14:paraId="6EB369AA" w14:textId="77777777" w:rsidR="00813CB8" w:rsidRPr="00312B84" w:rsidRDefault="002B4BED">
            <w:pPr>
              <w:spacing w:after="40"/>
              <w:rPr>
                <w:sz w:val="24"/>
                <w:szCs w:val="24"/>
              </w:rPr>
            </w:pPr>
            <w:r w:rsidRPr="00312B84">
              <w:rPr>
                <w:rFonts w:ascii="Arial" w:eastAsia="Arial" w:hAnsi="Arial" w:cs="Arial"/>
                <w:color w:val="22303C"/>
                <w:sz w:val="15"/>
                <w:szCs w:val="15"/>
              </w:rPr>
              <w:t>•  NAV $16.24, −4.4% over 1H26</w:t>
            </w:r>
          </w:p>
        </w:tc>
        <w:tc>
          <w:tcPr>
            <w:tcW w:w="2316" w:type="dxa"/>
            <w:tcMar>
              <w:top w:w="90" w:type="dxa"/>
              <w:left w:w="120" w:type="dxa"/>
              <w:bottom w:w="90" w:type="dxa"/>
              <w:right w:w="120" w:type="dxa"/>
            </w:tcMar>
            <w:vAlign w:val="center"/>
          </w:tcPr>
          <w:p w14:paraId="6EB369AB" w14:textId="77777777" w:rsidR="00813CB8" w:rsidRPr="00312B84" w:rsidRDefault="002B4BED">
            <w:pPr>
              <w:spacing w:after="40"/>
              <w:rPr>
                <w:sz w:val="24"/>
                <w:szCs w:val="24"/>
              </w:rPr>
            </w:pPr>
            <w:r w:rsidRPr="00312B84">
              <w:rPr>
                <w:rFonts w:ascii="Arial" w:eastAsia="Arial" w:hAnsi="Arial" w:cs="Arial"/>
                <w:color w:val="22303C"/>
                <w:sz w:val="15"/>
                <w:szCs w:val="15"/>
              </w:rPr>
              <w:t>•  $8.2bn FV, 424 cos — most granular book</w:t>
            </w:r>
          </w:p>
          <w:p w14:paraId="6EB369AC" w14:textId="77777777" w:rsidR="00813CB8" w:rsidRPr="00312B84" w:rsidRDefault="002B4BED">
            <w:pPr>
              <w:spacing w:after="40"/>
              <w:rPr>
                <w:sz w:val="24"/>
                <w:szCs w:val="24"/>
              </w:rPr>
            </w:pPr>
            <w:r w:rsidRPr="00312B84">
              <w:rPr>
                <w:rFonts w:ascii="Arial" w:eastAsia="Arial" w:hAnsi="Arial" w:cs="Arial"/>
                <w:color w:val="22303C"/>
                <w:sz w:val="15"/>
                <w:szCs w:val="15"/>
              </w:rPr>
              <w:t>•  One-stop loans 87.4%, senior secured ~92%; floors on 98% of loans</w:t>
            </w:r>
          </w:p>
          <w:p w14:paraId="6EB369AD" w14:textId="77777777" w:rsidR="00813CB8" w:rsidRPr="00312B84" w:rsidRDefault="002B4BED">
            <w:pPr>
              <w:spacing w:after="40"/>
              <w:rPr>
                <w:sz w:val="24"/>
                <w:szCs w:val="24"/>
              </w:rPr>
            </w:pPr>
            <w:r w:rsidRPr="00312B84">
              <w:rPr>
                <w:rFonts w:ascii="Arial" w:eastAsia="Arial" w:hAnsi="Arial" w:cs="Arial"/>
                <w:color w:val="22303C"/>
                <w:sz w:val="15"/>
                <w:szCs w:val="15"/>
              </w:rPr>
              <w:t>•  Software inside granular GICS mix; Symplr preferred on non-accrual</w:t>
            </w:r>
          </w:p>
          <w:p w14:paraId="6EB369AE" w14:textId="77777777" w:rsidR="00813CB8" w:rsidRPr="00312B84" w:rsidRDefault="002B4BED">
            <w:pPr>
              <w:spacing w:after="40"/>
              <w:rPr>
                <w:sz w:val="24"/>
                <w:szCs w:val="24"/>
              </w:rPr>
            </w:pPr>
            <w:r w:rsidRPr="00312B84">
              <w:rPr>
                <w:rFonts w:ascii="Arial" w:eastAsia="Arial" w:hAnsi="Arial" w:cs="Arial"/>
                <w:color w:val="22303C"/>
                <w:sz w:val="15"/>
                <w:szCs w:val="15"/>
              </w:rPr>
              <w:t>•  NAV $14.25, −4.8% FYTD</w:t>
            </w:r>
          </w:p>
        </w:tc>
      </w:tr>
      <w:tr w:rsidR="00813CB8" w:rsidRPr="00312B84" w14:paraId="6EB369C9" w14:textId="77777777">
        <w:trPr>
          <w:cantSplit/>
        </w:trPr>
        <w:tc>
          <w:tcPr>
            <w:tcW w:w="1290" w:type="dxa"/>
            <w:shd w:val="clear" w:color="auto" w:fill="EEF2F6"/>
            <w:tcMar>
              <w:top w:w="90" w:type="dxa"/>
              <w:left w:w="120" w:type="dxa"/>
              <w:bottom w:w="90" w:type="dxa"/>
              <w:right w:w="120" w:type="dxa"/>
            </w:tcMar>
            <w:vAlign w:val="center"/>
          </w:tcPr>
          <w:p w14:paraId="6EB369B0" w14:textId="77777777" w:rsidR="00813CB8" w:rsidRPr="00312B84" w:rsidRDefault="002B4BED">
            <w:pPr>
              <w:spacing w:after="40"/>
              <w:rPr>
                <w:sz w:val="24"/>
                <w:szCs w:val="24"/>
              </w:rPr>
            </w:pPr>
            <w:r w:rsidRPr="00312B84">
              <w:rPr>
                <w:rFonts w:ascii="Arial" w:eastAsia="Arial" w:hAnsi="Arial" w:cs="Arial"/>
                <w:b/>
                <w:bCs/>
                <w:color w:val="22303C"/>
                <w:sz w:val="15"/>
                <w:szCs w:val="15"/>
              </w:rPr>
              <w:t>Key factors</w:t>
            </w:r>
          </w:p>
        </w:tc>
        <w:tc>
          <w:tcPr>
            <w:tcW w:w="2314" w:type="dxa"/>
            <w:tcMar>
              <w:top w:w="90" w:type="dxa"/>
              <w:left w:w="120" w:type="dxa"/>
              <w:bottom w:w="90" w:type="dxa"/>
              <w:right w:w="120" w:type="dxa"/>
            </w:tcMar>
            <w:vAlign w:val="center"/>
          </w:tcPr>
          <w:p w14:paraId="6EB369B1" w14:textId="77777777" w:rsidR="00813CB8" w:rsidRPr="00312B84" w:rsidRDefault="002B4BED">
            <w:pPr>
              <w:spacing w:after="40"/>
              <w:rPr>
                <w:sz w:val="24"/>
                <w:szCs w:val="24"/>
              </w:rPr>
            </w:pPr>
            <w:r w:rsidRPr="00312B84">
              <w:rPr>
                <w:rFonts w:ascii="Arial" w:eastAsia="Arial" w:hAnsi="Arial" w:cs="Arial"/>
                <w:color w:val="22303C"/>
                <w:sz w:val="15"/>
                <w:szCs w:val="15"/>
              </w:rPr>
              <w:t>•  Non-accruals 0.6% cost / 0.1% FV — cleanest of six; one software addition in Q2</w:t>
            </w:r>
          </w:p>
          <w:p w14:paraId="6EB369B2" w14:textId="77777777" w:rsidR="00813CB8" w:rsidRPr="00312B84" w:rsidRDefault="002B4BED">
            <w:pPr>
              <w:spacing w:after="40"/>
              <w:rPr>
                <w:sz w:val="24"/>
                <w:szCs w:val="24"/>
              </w:rPr>
            </w:pPr>
            <w:r w:rsidRPr="00312B84">
              <w:rPr>
                <w:rFonts w:ascii="Arial" w:eastAsia="Arial" w:hAnsi="Arial" w:cs="Arial"/>
                <w:color w:val="22303C"/>
                <w:sz w:val="15"/>
                <w:szCs w:val="15"/>
              </w:rPr>
              <w:t>•  PIK 12.5% of TII, second highest; ~98% original-underwrite</w:t>
            </w:r>
          </w:p>
          <w:p w14:paraId="6EB369B3" w14:textId="77777777" w:rsidR="00813CB8" w:rsidRPr="00312B84" w:rsidRDefault="002B4BED">
            <w:pPr>
              <w:spacing w:after="40"/>
              <w:rPr>
                <w:sz w:val="24"/>
                <w:szCs w:val="24"/>
              </w:rPr>
            </w:pPr>
            <w:r w:rsidRPr="00312B84">
              <w:rPr>
                <w:rFonts w:ascii="Arial" w:eastAsia="Arial" w:hAnsi="Arial" w:cs="Arial"/>
                <w:color w:val="22303C"/>
                <w:sz w:val="15"/>
                <w:szCs w:val="15"/>
              </w:rPr>
              <w:t>•  Section 36(b) suit filed vs adviser June 18; specials end with Q3'26 payment</w:t>
            </w:r>
          </w:p>
          <w:p w14:paraId="6EB369B4" w14:textId="77777777" w:rsidR="00813CB8" w:rsidRPr="00312B84" w:rsidRDefault="002B4BED">
            <w:pPr>
              <w:spacing w:after="40"/>
              <w:rPr>
                <w:sz w:val="24"/>
                <w:szCs w:val="24"/>
              </w:rPr>
            </w:pPr>
            <w:r w:rsidRPr="00312B84">
              <w:rPr>
                <w:rFonts w:ascii="Arial" w:eastAsia="Arial" w:hAnsi="Arial" w:cs="Arial"/>
                <w:color w:val="22303C"/>
                <w:sz w:val="15"/>
                <w:szCs w:val="15"/>
              </w:rPr>
              <w:t>•  Borrower EBITDA $291mm, +2.1% QoQ; net LTV 40%</w:t>
            </w:r>
          </w:p>
        </w:tc>
        <w:tc>
          <w:tcPr>
            <w:tcW w:w="2314" w:type="dxa"/>
            <w:tcMar>
              <w:top w:w="90" w:type="dxa"/>
              <w:left w:w="120" w:type="dxa"/>
              <w:bottom w:w="90" w:type="dxa"/>
              <w:right w:w="120" w:type="dxa"/>
            </w:tcMar>
            <w:vAlign w:val="center"/>
          </w:tcPr>
          <w:p w14:paraId="6EB369B5" w14:textId="77777777" w:rsidR="00813CB8" w:rsidRPr="00312B84" w:rsidRDefault="002B4BED">
            <w:pPr>
              <w:spacing w:after="40"/>
              <w:rPr>
                <w:sz w:val="24"/>
                <w:szCs w:val="24"/>
              </w:rPr>
            </w:pPr>
            <w:r w:rsidRPr="00312B84">
              <w:rPr>
                <w:rFonts w:ascii="Arial" w:eastAsia="Arial" w:hAnsi="Arial" w:cs="Arial"/>
                <w:color w:val="22303C"/>
                <w:sz w:val="15"/>
                <w:szCs w:val="15"/>
              </w:rPr>
              <w:t>•  NII $0.50 covered the $0.48 dividend at 104% — no cut</w:t>
            </w:r>
          </w:p>
          <w:p w14:paraId="6EB369B6" w14:textId="77777777" w:rsidR="00813CB8" w:rsidRPr="00312B84" w:rsidRDefault="002B4BED">
            <w:pPr>
              <w:spacing w:after="40"/>
              <w:rPr>
                <w:sz w:val="24"/>
                <w:szCs w:val="24"/>
              </w:rPr>
            </w:pPr>
            <w:r w:rsidRPr="00312B84">
              <w:rPr>
                <w:rFonts w:ascii="Arial" w:eastAsia="Arial" w:hAnsi="Arial" w:cs="Arial"/>
                <w:color w:val="22303C"/>
                <w:sz w:val="15"/>
                <w:szCs w:val="15"/>
              </w:rPr>
              <w:t>•  PIK 15.8% of TII, highest of six</w:t>
            </w:r>
          </w:p>
          <w:p w14:paraId="6EB369B7" w14:textId="77777777" w:rsidR="00813CB8" w:rsidRPr="00312B84" w:rsidRDefault="002B4BED">
            <w:pPr>
              <w:spacing w:after="40"/>
              <w:rPr>
                <w:sz w:val="24"/>
                <w:szCs w:val="24"/>
              </w:rPr>
            </w:pPr>
            <w:r w:rsidRPr="00312B84">
              <w:rPr>
                <w:rFonts w:ascii="Arial" w:eastAsia="Arial" w:hAnsi="Arial" w:cs="Arial"/>
                <w:color w:val="22303C"/>
                <w:sz w:val="15"/>
                <w:szCs w:val="15"/>
              </w:rPr>
              <w:t>•  Non-accruals 2.4% cost / 1.4% FV, up from 1.8%/1.2% at YE; grade-2 bucket up $0.4bn</w:t>
            </w:r>
          </w:p>
          <w:p w14:paraId="6EB369B8" w14:textId="77777777" w:rsidR="00813CB8" w:rsidRPr="00312B84" w:rsidRDefault="002B4BED">
            <w:pPr>
              <w:spacing w:after="40"/>
              <w:rPr>
                <w:sz w:val="24"/>
                <w:szCs w:val="24"/>
              </w:rPr>
            </w:pPr>
            <w:r w:rsidRPr="00312B84">
              <w:rPr>
                <w:rFonts w:ascii="Arial" w:eastAsia="Arial" w:hAnsi="Arial" w:cs="Arial"/>
                <w:color w:val="22303C"/>
                <w:sz w:val="15"/>
                <w:szCs w:val="15"/>
              </w:rPr>
              <w:t>•  Q2 EPS $0.24 vs NII $0.50 on net losses</w:t>
            </w:r>
          </w:p>
        </w:tc>
        <w:tc>
          <w:tcPr>
            <w:tcW w:w="2314" w:type="dxa"/>
            <w:tcMar>
              <w:top w:w="90" w:type="dxa"/>
              <w:left w:w="120" w:type="dxa"/>
              <w:bottom w:w="90" w:type="dxa"/>
              <w:right w:w="120" w:type="dxa"/>
            </w:tcMar>
            <w:vAlign w:val="center"/>
          </w:tcPr>
          <w:p w14:paraId="6EB369B9" w14:textId="77777777" w:rsidR="00813CB8" w:rsidRPr="00312B84" w:rsidRDefault="002B4BED">
            <w:pPr>
              <w:spacing w:after="40"/>
              <w:rPr>
                <w:sz w:val="24"/>
                <w:szCs w:val="24"/>
              </w:rPr>
            </w:pPr>
            <w:r w:rsidRPr="00312B84">
              <w:rPr>
                <w:rFonts w:ascii="Arial" w:eastAsia="Arial" w:hAnsi="Arial" w:cs="Arial"/>
                <w:color w:val="22303C"/>
                <w:sz w:val="15"/>
                <w:szCs w:val="15"/>
              </w:rPr>
              <w:t>•  Medallia moved to non-accrual — $383mm cost marked ~$196mm — driving cost non-accruals 0.6% → 3.6%</w:t>
            </w:r>
          </w:p>
          <w:p w14:paraId="6EB369BA" w14:textId="77777777" w:rsidR="00813CB8" w:rsidRPr="00312B84" w:rsidRDefault="002B4BED">
            <w:pPr>
              <w:spacing w:after="40"/>
              <w:rPr>
                <w:sz w:val="24"/>
                <w:szCs w:val="24"/>
              </w:rPr>
            </w:pPr>
            <w:r w:rsidRPr="00312B84">
              <w:rPr>
                <w:rFonts w:ascii="Arial" w:eastAsia="Arial" w:hAnsi="Arial" w:cs="Arial"/>
                <w:color w:val="22303C"/>
                <w:sz w:val="15"/>
                <w:szCs w:val="15"/>
              </w:rPr>
              <w:t>•  Coverage 97%; JPM models a cut to $0.70 from $0.77 in 3Q26</w:t>
            </w:r>
          </w:p>
          <w:p w14:paraId="6EB369BB" w14:textId="77777777" w:rsidR="00813CB8" w:rsidRPr="00312B84" w:rsidRDefault="002B4BED">
            <w:pPr>
              <w:spacing w:after="40"/>
              <w:rPr>
                <w:sz w:val="24"/>
                <w:szCs w:val="24"/>
              </w:rPr>
            </w:pPr>
            <w:r w:rsidRPr="00312B84">
              <w:rPr>
                <w:rFonts w:ascii="Arial" w:eastAsia="Arial" w:hAnsi="Arial" w:cs="Arial"/>
                <w:color w:val="22303C"/>
                <w:sz w:val="15"/>
                <w:szCs w:val="15"/>
              </w:rPr>
              <w:t>•  PIK 6.6% of TII, low</w:t>
            </w:r>
          </w:p>
          <w:p w14:paraId="6EB369BC" w14:textId="77777777" w:rsidR="00813CB8" w:rsidRPr="00312B84" w:rsidRDefault="002B4BED">
            <w:pPr>
              <w:spacing w:after="40"/>
              <w:rPr>
                <w:sz w:val="24"/>
                <w:szCs w:val="24"/>
              </w:rPr>
            </w:pPr>
            <w:r w:rsidRPr="00312B84">
              <w:rPr>
                <w:rFonts w:ascii="Arial" w:eastAsia="Arial" w:hAnsi="Arial" w:cs="Arial"/>
                <w:color w:val="22303C"/>
                <w:sz w:val="15"/>
                <w:szCs w:val="15"/>
              </w:rPr>
              <w:t>•  Portfolio yield compressed to 9.2% from 9.5%</w:t>
            </w:r>
          </w:p>
        </w:tc>
        <w:tc>
          <w:tcPr>
            <w:tcW w:w="2314" w:type="dxa"/>
            <w:tcMar>
              <w:top w:w="90" w:type="dxa"/>
              <w:left w:w="120" w:type="dxa"/>
              <w:bottom w:w="90" w:type="dxa"/>
              <w:right w:w="120" w:type="dxa"/>
            </w:tcMar>
            <w:vAlign w:val="center"/>
          </w:tcPr>
          <w:p w14:paraId="6EB369BD" w14:textId="77777777" w:rsidR="00813CB8" w:rsidRPr="00312B84" w:rsidRDefault="002B4BED">
            <w:pPr>
              <w:spacing w:after="40"/>
              <w:rPr>
                <w:sz w:val="24"/>
                <w:szCs w:val="24"/>
              </w:rPr>
            </w:pPr>
            <w:r w:rsidRPr="00312B84">
              <w:rPr>
                <w:rFonts w:ascii="Arial" w:eastAsia="Arial" w:hAnsi="Arial" w:cs="Arial"/>
                <w:color w:val="22303C"/>
                <w:sz w:val="15"/>
                <w:szCs w:val="15"/>
              </w:rPr>
              <w:t>•  Regular dividend cut $0.37 → $0.31 from Q2'26; $0.02 supplemental added</w:t>
            </w:r>
          </w:p>
          <w:p w14:paraId="6EB369BE" w14:textId="77777777" w:rsidR="00813CB8" w:rsidRPr="00312B84" w:rsidRDefault="002B4BED">
            <w:pPr>
              <w:spacing w:after="40"/>
              <w:rPr>
                <w:sz w:val="24"/>
                <w:szCs w:val="24"/>
              </w:rPr>
            </w:pPr>
            <w:r w:rsidRPr="00312B84">
              <w:rPr>
                <w:rFonts w:ascii="Arial" w:eastAsia="Arial" w:hAnsi="Arial" w:cs="Arial"/>
                <w:color w:val="22303C"/>
                <w:sz w:val="15"/>
                <w:szCs w:val="15"/>
              </w:rPr>
              <w:t>•  Non-accruals 2.8% cost / 0.8% FV across 7 cos</w:t>
            </w:r>
          </w:p>
          <w:p w14:paraId="6EB369BF" w14:textId="77777777" w:rsidR="00813CB8" w:rsidRPr="00312B84" w:rsidRDefault="002B4BED">
            <w:pPr>
              <w:spacing w:after="40"/>
              <w:rPr>
                <w:sz w:val="24"/>
                <w:szCs w:val="24"/>
              </w:rPr>
            </w:pPr>
            <w:r w:rsidRPr="00312B84">
              <w:rPr>
                <w:rFonts w:ascii="Arial" w:eastAsia="Arial" w:hAnsi="Arial" w:cs="Arial"/>
                <w:color w:val="22303C"/>
                <w:sz w:val="15"/>
                <w:szCs w:val="15"/>
              </w:rPr>
              <w:t>•  TII −17% y/y on lower rates and a smaller book</w:t>
            </w:r>
          </w:p>
          <w:p w14:paraId="6EB369C0" w14:textId="77777777" w:rsidR="00813CB8" w:rsidRPr="00312B84" w:rsidRDefault="002B4BED">
            <w:pPr>
              <w:spacing w:after="40"/>
              <w:rPr>
                <w:sz w:val="24"/>
                <w:szCs w:val="24"/>
              </w:rPr>
            </w:pPr>
            <w:r w:rsidRPr="00312B84">
              <w:rPr>
                <w:rFonts w:ascii="Arial" w:eastAsia="Arial" w:hAnsi="Arial" w:cs="Arial"/>
                <w:color w:val="22303C"/>
                <w:sz w:val="15"/>
                <w:szCs w:val="15"/>
              </w:rPr>
              <w:t>•  Buyback accretive: 6.3mm sh for $70.3mm in 1H, +$0.05/sh NAV</w:t>
            </w:r>
          </w:p>
        </w:tc>
        <w:tc>
          <w:tcPr>
            <w:tcW w:w="2314" w:type="dxa"/>
            <w:tcMar>
              <w:top w:w="90" w:type="dxa"/>
              <w:left w:w="120" w:type="dxa"/>
              <w:bottom w:w="90" w:type="dxa"/>
              <w:right w:w="120" w:type="dxa"/>
            </w:tcMar>
            <w:vAlign w:val="center"/>
          </w:tcPr>
          <w:p w14:paraId="6EB369C1" w14:textId="77777777" w:rsidR="00813CB8" w:rsidRPr="00312B84" w:rsidRDefault="002B4BED">
            <w:pPr>
              <w:spacing w:after="40"/>
              <w:rPr>
                <w:sz w:val="24"/>
                <w:szCs w:val="24"/>
              </w:rPr>
            </w:pPr>
            <w:r w:rsidRPr="00312B84">
              <w:rPr>
                <w:rFonts w:ascii="Arial" w:eastAsia="Arial" w:hAnsi="Arial" w:cs="Arial"/>
                <w:color w:val="22303C"/>
                <w:sz w:val="15"/>
                <w:szCs w:val="15"/>
              </w:rPr>
              <w:t>•  Base dividend cut $0.46 → $0.42; supplemental suspended</w:t>
            </w:r>
          </w:p>
          <w:p w14:paraId="6EB369C2" w14:textId="77777777" w:rsidR="00813CB8" w:rsidRPr="00312B84" w:rsidRDefault="002B4BED">
            <w:pPr>
              <w:spacing w:after="40"/>
              <w:rPr>
                <w:sz w:val="24"/>
                <w:szCs w:val="24"/>
              </w:rPr>
            </w:pPr>
            <w:r w:rsidRPr="00312B84">
              <w:rPr>
                <w:rFonts w:ascii="Arial" w:eastAsia="Arial" w:hAnsi="Arial" w:cs="Arial"/>
                <w:color w:val="22303C"/>
                <w:sz w:val="15"/>
                <w:szCs w:val="15"/>
              </w:rPr>
              <w:t>•  Non-accruals 1.9% cost / 1.3% FV; ASP Unifrax among names</w:t>
            </w:r>
          </w:p>
          <w:p w14:paraId="6EB369C3" w14:textId="77777777" w:rsidR="00813CB8" w:rsidRPr="00312B84" w:rsidRDefault="002B4BED">
            <w:pPr>
              <w:spacing w:after="40"/>
              <w:rPr>
                <w:sz w:val="24"/>
                <w:szCs w:val="24"/>
              </w:rPr>
            </w:pPr>
            <w:r w:rsidRPr="00312B84">
              <w:rPr>
                <w:rFonts w:ascii="Arial" w:eastAsia="Arial" w:hAnsi="Arial" w:cs="Arial"/>
                <w:color w:val="22303C"/>
                <w:sz w:val="15"/>
                <w:szCs w:val="15"/>
              </w:rPr>
              <w:t>•  Deployment near-stop: $115mm new commitments vs $192mm repayments</w:t>
            </w:r>
          </w:p>
          <w:p w14:paraId="6EB369C4" w14:textId="77777777" w:rsidR="00813CB8" w:rsidRPr="00312B84" w:rsidRDefault="002B4BED">
            <w:pPr>
              <w:spacing w:after="40"/>
              <w:rPr>
                <w:sz w:val="24"/>
                <w:szCs w:val="24"/>
              </w:rPr>
            </w:pPr>
            <w:r w:rsidRPr="00312B84">
              <w:rPr>
                <w:rFonts w:ascii="Arial" w:eastAsia="Arial" w:hAnsi="Arial" w:cs="Arial"/>
                <w:color w:val="22303C"/>
                <w:sz w:val="15"/>
                <w:szCs w:val="15"/>
              </w:rPr>
              <w:t>•  NII $0.43 covers the reset base at 102%</w:t>
            </w:r>
          </w:p>
        </w:tc>
        <w:tc>
          <w:tcPr>
            <w:tcW w:w="2316" w:type="dxa"/>
            <w:tcMar>
              <w:top w:w="90" w:type="dxa"/>
              <w:left w:w="120" w:type="dxa"/>
              <w:bottom w:w="90" w:type="dxa"/>
              <w:right w:w="120" w:type="dxa"/>
            </w:tcMar>
            <w:vAlign w:val="center"/>
          </w:tcPr>
          <w:p w14:paraId="6EB369C5" w14:textId="77777777" w:rsidR="00813CB8" w:rsidRPr="00312B84" w:rsidRDefault="002B4BED">
            <w:pPr>
              <w:spacing w:after="40"/>
              <w:rPr>
                <w:sz w:val="24"/>
                <w:szCs w:val="24"/>
              </w:rPr>
            </w:pPr>
            <w:r w:rsidRPr="00312B84">
              <w:rPr>
                <w:rFonts w:ascii="Arial" w:eastAsia="Arial" w:hAnsi="Arial" w:cs="Arial"/>
                <w:color w:val="22303C"/>
                <w:sz w:val="15"/>
                <w:szCs w:val="15"/>
              </w:rPr>
              <w:t>•  Distribution cut $0.39 → $0.33, −15%, from the Mar-26 quarter</w:t>
            </w:r>
          </w:p>
          <w:p w14:paraId="6EB369C6" w14:textId="77777777" w:rsidR="00813CB8" w:rsidRPr="00312B84" w:rsidRDefault="002B4BED">
            <w:pPr>
              <w:spacing w:after="40"/>
              <w:rPr>
                <w:sz w:val="24"/>
                <w:szCs w:val="24"/>
              </w:rPr>
            </w:pPr>
            <w:r w:rsidRPr="00312B84">
              <w:rPr>
                <w:rFonts w:ascii="Arial" w:eastAsia="Arial" w:hAnsi="Arial" w:cs="Arial"/>
                <w:color w:val="22303C"/>
                <w:sz w:val="15"/>
                <w:szCs w:val="15"/>
              </w:rPr>
              <w:t>•  Non-accruals 0.6% → 2.9% cost in three fiscal quarters — 15 loan + 5 preferred issuers</w:t>
            </w:r>
          </w:p>
          <w:p w14:paraId="6EB369C7" w14:textId="77777777" w:rsidR="00813CB8" w:rsidRPr="00312B84" w:rsidRDefault="002B4BED">
            <w:pPr>
              <w:spacing w:after="40"/>
              <w:rPr>
                <w:sz w:val="24"/>
                <w:szCs w:val="24"/>
              </w:rPr>
            </w:pPr>
            <w:r w:rsidRPr="00312B84">
              <w:rPr>
                <w:rFonts w:ascii="Arial" w:eastAsia="Arial" w:hAnsi="Arial" w:cs="Arial"/>
                <w:color w:val="22303C"/>
                <w:sz w:val="15"/>
                <w:szCs w:val="15"/>
              </w:rPr>
              <w:t>•  PIK 8.6% of TII, up from 6.1% y/y</w:t>
            </w:r>
          </w:p>
          <w:p w14:paraId="6EB369C8" w14:textId="77777777" w:rsidR="00813CB8" w:rsidRPr="00312B84" w:rsidRDefault="002B4BED">
            <w:pPr>
              <w:spacing w:after="40"/>
              <w:rPr>
                <w:sz w:val="24"/>
                <w:szCs w:val="24"/>
              </w:rPr>
            </w:pPr>
            <w:r w:rsidRPr="00312B84">
              <w:rPr>
                <w:rFonts w:ascii="Arial" w:eastAsia="Arial" w:hAnsi="Arial" w:cs="Arial"/>
                <w:color w:val="22303C"/>
                <w:sz w:val="15"/>
                <w:szCs w:val="15"/>
              </w:rPr>
              <w:t>•  New commitments just $12.6mm in the June quarter</w:t>
            </w:r>
          </w:p>
        </w:tc>
      </w:tr>
      <w:tr w:rsidR="00813CB8" w:rsidRPr="00312B84" w14:paraId="6EB369DD" w14:textId="77777777">
        <w:trPr>
          <w:cantSplit/>
        </w:trPr>
        <w:tc>
          <w:tcPr>
            <w:tcW w:w="1290" w:type="dxa"/>
            <w:shd w:val="clear" w:color="auto" w:fill="EEF2F6"/>
            <w:tcMar>
              <w:top w:w="90" w:type="dxa"/>
              <w:left w:w="120" w:type="dxa"/>
              <w:bottom w:w="90" w:type="dxa"/>
              <w:right w:w="120" w:type="dxa"/>
            </w:tcMar>
            <w:vAlign w:val="center"/>
          </w:tcPr>
          <w:p w14:paraId="6EB369CA" w14:textId="77777777" w:rsidR="00813CB8" w:rsidRPr="00312B84" w:rsidRDefault="002B4BED">
            <w:pPr>
              <w:spacing w:after="40"/>
              <w:rPr>
                <w:sz w:val="24"/>
                <w:szCs w:val="24"/>
              </w:rPr>
            </w:pPr>
            <w:r w:rsidRPr="00312B84">
              <w:rPr>
                <w:rFonts w:ascii="Arial" w:eastAsia="Arial" w:hAnsi="Arial" w:cs="Arial"/>
                <w:b/>
                <w:bCs/>
                <w:color w:val="22303C"/>
                <w:sz w:val="15"/>
                <w:szCs w:val="15"/>
              </w:rPr>
              <w:lastRenderedPageBreak/>
              <w:t>Liquidity pressure</w:t>
            </w:r>
          </w:p>
        </w:tc>
        <w:tc>
          <w:tcPr>
            <w:tcW w:w="2314" w:type="dxa"/>
            <w:tcMar>
              <w:top w:w="90" w:type="dxa"/>
              <w:left w:w="120" w:type="dxa"/>
              <w:bottom w:w="90" w:type="dxa"/>
              <w:right w:w="120" w:type="dxa"/>
            </w:tcMar>
            <w:vAlign w:val="center"/>
          </w:tcPr>
          <w:p w14:paraId="6EB369CB" w14:textId="77777777" w:rsidR="00813CB8" w:rsidRPr="00312B84" w:rsidRDefault="002B4BED">
            <w:pPr>
              <w:spacing w:after="40"/>
              <w:rPr>
                <w:sz w:val="24"/>
                <w:szCs w:val="24"/>
              </w:rPr>
            </w:pPr>
            <w:r w:rsidRPr="00312B84">
              <w:rPr>
                <w:rFonts w:ascii="Arial" w:eastAsia="Arial" w:hAnsi="Arial" w:cs="Arial"/>
                <w:color w:val="22303C"/>
                <w:sz w:val="15"/>
                <w:szCs w:val="15"/>
              </w:rPr>
              <w:t>•  None — $2.0bn liquidity; net leverage 0.93x, low end of 0.90–1.25x target</w:t>
            </w:r>
          </w:p>
          <w:p w14:paraId="6EB369CC" w14:textId="77777777" w:rsidR="00813CB8" w:rsidRPr="00312B84" w:rsidRDefault="002B4BED">
            <w:pPr>
              <w:spacing w:after="40"/>
              <w:rPr>
                <w:sz w:val="24"/>
                <w:szCs w:val="24"/>
              </w:rPr>
            </w:pPr>
            <w:r w:rsidRPr="00312B84">
              <w:rPr>
                <w:rFonts w:ascii="Arial" w:eastAsia="Arial" w:hAnsi="Arial" w:cs="Arial"/>
                <w:color w:val="22303C"/>
                <w:sz w:val="15"/>
                <w:szCs w:val="15"/>
              </w:rPr>
              <w:t>•  Issued $500mm 6.50% Oct-29 notes; June-26 notes repaid</w:t>
            </w:r>
          </w:p>
          <w:p w14:paraId="6EB369CD" w14:textId="77777777" w:rsidR="00813CB8" w:rsidRPr="00312B84" w:rsidRDefault="002B4BED">
            <w:pPr>
              <w:spacing w:after="40"/>
              <w:rPr>
                <w:sz w:val="24"/>
                <w:szCs w:val="24"/>
              </w:rPr>
            </w:pPr>
            <w:r w:rsidRPr="00312B84">
              <w:rPr>
                <w:rFonts w:ascii="Arial" w:eastAsia="Arial" w:hAnsi="Arial" w:cs="Arial"/>
                <w:color w:val="22303C"/>
                <w:sz w:val="15"/>
                <w:szCs w:val="15"/>
              </w:rPr>
              <w:t>•  $55mm buyback in Q2, ~$170mm over three quarters</w:t>
            </w:r>
          </w:p>
        </w:tc>
        <w:tc>
          <w:tcPr>
            <w:tcW w:w="2314" w:type="dxa"/>
            <w:tcMar>
              <w:top w:w="90" w:type="dxa"/>
              <w:left w:w="120" w:type="dxa"/>
              <w:bottom w:w="90" w:type="dxa"/>
              <w:right w:w="120" w:type="dxa"/>
            </w:tcMar>
            <w:vAlign w:val="center"/>
          </w:tcPr>
          <w:p w14:paraId="6EB369CE" w14:textId="77777777" w:rsidR="00813CB8" w:rsidRPr="00312B84" w:rsidRDefault="002B4BED">
            <w:pPr>
              <w:spacing w:after="40"/>
              <w:rPr>
                <w:sz w:val="24"/>
                <w:szCs w:val="24"/>
              </w:rPr>
            </w:pPr>
            <w:r w:rsidRPr="00312B84">
              <w:rPr>
                <w:rFonts w:ascii="Arial" w:eastAsia="Arial" w:hAnsi="Arial" w:cs="Arial"/>
                <w:color w:val="22303C"/>
                <w:sz w:val="15"/>
                <w:szCs w:val="15"/>
              </w:rPr>
              <w:t>•  None — ~$6.7bn facility capacity; ~1.11x net</w:t>
            </w:r>
          </w:p>
          <w:p w14:paraId="6EB369CF" w14:textId="77777777" w:rsidR="00813CB8" w:rsidRPr="00312B84" w:rsidRDefault="002B4BED">
            <w:pPr>
              <w:spacing w:after="40"/>
              <w:rPr>
                <w:sz w:val="24"/>
                <w:szCs w:val="24"/>
              </w:rPr>
            </w:pPr>
            <w:r w:rsidRPr="00312B84">
              <w:rPr>
                <w:rFonts w:ascii="Arial" w:eastAsia="Arial" w:hAnsi="Arial" w:cs="Arial"/>
                <w:color w:val="22303C"/>
                <w:sz w:val="15"/>
                <w:szCs w:val="15"/>
              </w:rPr>
              <w:t>•  $750mm 5.343% 2031 notes issued Jan; $1.0bn Jul-26 notes repaid at maturity</w:t>
            </w:r>
          </w:p>
          <w:p w14:paraId="6EB369D0" w14:textId="77777777" w:rsidR="00813CB8" w:rsidRPr="00312B84" w:rsidRDefault="002B4BED">
            <w:pPr>
              <w:spacing w:after="40"/>
              <w:rPr>
                <w:sz w:val="24"/>
                <w:szCs w:val="24"/>
              </w:rPr>
            </w:pPr>
            <w:r w:rsidRPr="00312B84">
              <w:rPr>
                <w:rFonts w:ascii="Arial" w:eastAsia="Arial" w:hAnsi="Arial" w:cs="Arial"/>
                <w:color w:val="22303C"/>
                <w:sz w:val="15"/>
                <w:szCs w:val="15"/>
              </w:rPr>
              <w:t>•  $1bn buyback authorization untouched</w:t>
            </w:r>
          </w:p>
        </w:tc>
        <w:tc>
          <w:tcPr>
            <w:tcW w:w="2314" w:type="dxa"/>
            <w:tcMar>
              <w:top w:w="90" w:type="dxa"/>
              <w:left w:w="120" w:type="dxa"/>
              <w:bottom w:w="90" w:type="dxa"/>
              <w:right w:w="120" w:type="dxa"/>
            </w:tcMar>
            <w:vAlign w:val="center"/>
          </w:tcPr>
          <w:p w14:paraId="6EB369D1" w14:textId="77777777" w:rsidR="00813CB8" w:rsidRPr="00312B84" w:rsidRDefault="002B4BED">
            <w:pPr>
              <w:spacing w:after="40"/>
              <w:rPr>
                <w:sz w:val="24"/>
                <w:szCs w:val="24"/>
              </w:rPr>
            </w:pPr>
            <w:r w:rsidRPr="00312B84">
              <w:rPr>
                <w:rFonts w:ascii="Arial" w:eastAsia="Arial" w:hAnsi="Arial" w:cs="Arial"/>
                <w:color w:val="22303C"/>
                <w:sz w:val="15"/>
                <w:szCs w:val="15"/>
              </w:rPr>
              <w:t>•  None, but $700mm 2.750% notes mature Sep-26 — next test</w:t>
            </w:r>
          </w:p>
          <w:p w14:paraId="6EB369D2" w14:textId="77777777" w:rsidR="00813CB8" w:rsidRPr="00312B84" w:rsidRDefault="002B4BED">
            <w:pPr>
              <w:spacing w:after="40"/>
              <w:rPr>
                <w:sz w:val="24"/>
                <w:szCs w:val="24"/>
              </w:rPr>
            </w:pPr>
            <w:r w:rsidRPr="00312B84">
              <w:rPr>
                <w:rFonts w:ascii="Arial" w:eastAsia="Arial" w:hAnsi="Arial" w:cs="Arial"/>
                <w:color w:val="22303C"/>
                <w:sz w:val="15"/>
                <w:szCs w:val="15"/>
              </w:rPr>
              <w:t>•  $2.8bn unused facilities + $183mm cash; 1.25x net</w:t>
            </w:r>
          </w:p>
          <w:p w14:paraId="6EB369D3" w14:textId="77777777" w:rsidR="00813CB8" w:rsidRPr="00312B84" w:rsidRDefault="002B4BED">
            <w:pPr>
              <w:spacing w:after="40"/>
              <w:rPr>
                <w:sz w:val="24"/>
                <w:szCs w:val="24"/>
              </w:rPr>
            </w:pPr>
            <w:r w:rsidRPr="00312B84">
              <w:rPr>
                <w:rFonts w:ascii="Arial" w:eastAsia="Arial" w:hAnsi="Arial" w:cs="Arial"/>
                <w:color w:val="22303C"/>
                <w:sz w:val="15"/>
                <w:szCs w:val="15"/>
              </w:rPr>
              <w:t>•  $250mm buyback authorized Feb-26, unused</w:t>
            </w:r>
          </w:p>
        </w:tc>
        <w:tc>
          <w:tcPr>
            <w:tcW w:w="2314" w:type="dxa"/>
            <w:tcMar>
              <w:top w:w="90" w:type="dxa"/>
              <w:left w:w="120" w:type="dxa"/>
              <w:bottom w:w="90" w:type="dxa"/>
              <w:right w:w="120" w:type="dxa"/>
            </w:tcMar>
            <w:vAlign w:val="center"/>
          </w:tcPr>
          <w:p w14:paraId="6EB369D4" w14:textId="77777777" w:rsidR="00813CB8" w:rsidRPr="00312B84" w:rsidRDefault="002B4BED">
            <w:pPr>
              <w:spacing w:after="40"/>
              <w:rPr>
                <w:sz w:val="24"/>
                <w:szCs w:val="24"/>
              </w:rPr>
            </w:pPr>
            <w:r w:rsidRPr="00312B84">
              <w:rPr>
                <w:rFonts w:ascii="Arial" w:eastAsia="Arial" w:hAnsi="Arial" w:cs="Arial"/>
                <w:color w:val="22303C"/>
                <w:sz w:val="15"/>
                <w:szCs w:val="15"/>
              </w:rPr>
              <w:t>•  None — $4.1bn undrawn + $238mm cash; 1.11x net, coverage 187%</w:t>
            </w:r>
          </w:p>
          <w:p w14:paraId="6EB369D5" w14:textId="77777777" w:rsidR="00813CB8" w:rsidRPr="00312B84" w:rsidRDefault="002B4BED">
            <w:pPr>
              <w:spacing w:after="40"/>
              <w:rPr>
                <w:sz w:val="24"/>
                <w:szCs w:val="24"/>
              </w:rPr>
            </w:pPr>
            <w:r w:rsidRPr="00312B84">
              <w:rPr>
                <w:rFonts w:ascii="Arial" w:eastAsia="Arial" w:hAnsi="Arial" w:cs="Arial"/>
                <w:color w:val="22303C"/>
                <w:sz w:val="15"/>
                <w:szCs w:val="15"/>
              </w:rPr>
              <w:t>•  $1.5bn of notes repaid across 1H and July</w:t>
            </w:r>
          </w:p>
          <w:p w14:paraId="6EB369D6" w14:textId="77777777" w:rsidR="00813CB8" w:rsidRPr="00312B84" w:rsidRDefault="002B4BED">
            <w:pPr>
              <w:spacing w:after="40"/>
              <w:rPr>
                <w:sz w:val="24"/>
                <w:szCs w:val="24"/>
              </w:rPr>
            </w:pPr>
            <w:r w:rsidRPr="00312B84">
              <w:rPr>
                <w:rFonts w:ascii="Arial" w:eastAsia="Arial" w:hAnsi="Arial" w:cs="Arial"/>
                <w:color w:val="22303C"/>
                <w:sz w:val="15"/>
                <w:szCs w:val="15"/>
              </w:rPr>
              <w:t>•  $300mm buyback program, $230mm remaining</w:t>
            </w:r>
          </w:p>
        </w:tc>
        <w:tc>
          <w:tcPr>
            <w:tcW w:w="2314" w:type="dxa"/>
            <w:tcMar>
              <w:top w:w="90" w:type="dxa"/>
              <w:left w:w="120" w:type="dxa"/>
              <w:bottom w:w="90" w:type="dxa"/>
              <w:right w:w="120" w:type="dxa"/>
            </w:tcMar>
            <w:vAlign w:val="center"/>
          </w:tcPr>
          <w:p w14:paraId="6EB369D7" w14:textId="77777777" w:rsidR="00813CB8" w:rsidRPr="00312B84" w:rsidRDefault="002B4BED">
            <w:pPr>
              <w:spacing w:after="40"/>
              <w:rPr>
                <w:sz w:val="24"/>
                <w:szCs w:val="24"/>
              </w:rPr>
            </w:pPr>
            <w:r w:rsidRPr="00312B84">
              <w:rPr>
                <w:rFonts w:ascii="Arial" w:eastAsia="Arial" w:hAnsi="Arial" w:cs="Arial"/>
                <w:color w:val="22303C"/>
                <w:sz w:val="15"/>
                <w:szCs w:val="15"/>
              </w:rPr>
              <w:t>•  None — $1.1bn revolver capacity + $194mm cash; 1.27x gross, ~1.17x net</w:t>
            </w:r>
          </w:p>
          <w:p w14:paraId="6EB369D8" w14:textId="77777777" w:rsidR="00813CB8" w:rsidRPr="00312B84" w:rsidRDefault="002B4BED">
            <w:pPr>
              <w:spacing w:after="40"/>
              <w:rPr>
                <w:sz w:val="24"/>
                <w:szCs w:val="24"/>
              </w:rPr>
            </w:pPr>
            <w:r w:rsidRPr="00312B84">
              <w:rPr>
                <w:rFonts w:ascii="Arial" w:eastAsia="Arial" w:hAnsi="Arial" w:cs="Arial"/>
                <w:color w:val="22303C"/>
                <w:sz w:val="15"/>
                <w:szCs w:val="15"/>
              </w:rPr>
              <w:t>•  $300mm 5.65% 2031 notes issued May; Aug-26 notes repaid post-quarter</w:t>
            </w:r>
          </w:p>
          <w:p w14:paraId="6EB369D9" w14:textId="77777777" w:rsidR="00813CB8" w:rsidRPr="00312B84" w:rsidRDefault="002B4BED">
            <w:pPr>
              <w:spacing w:after="40"/>
              <w:rPr>
                <w:sz w:val="24"/>
                <w:szCs w:val="24"/>
              </w:rPr>
            </w:pPr>
            <w:r w:rsidRPr="00312B84">
              <w:rPr>
                <w:rFonts w:ascii="Arial" w:eastAsia="Arial" w:hAnsi="Arial" w:cs="Arial"/>
                <w:color w:val="22303C"/>
                <w:sz w:val="15"/>
                <w:szCs w:val="15"/>
              </w:rPr>
              <w:t>•  Small buyback resumed — first repurchases in over a year</w:t>
            </w:r>
          </w:p>
        </w:tc>
        <w:tc>
          <w:tcPr>
            <w:tcW w:w="2316" w:type="dxa"/>
            <w:tcMar>
              <w:top w:w="90" w:type="dxa"/>
              <w:left w:w="120" w:type="dxa"/>
              <w:bottom w:w="90" w:type="dxa"/>
              <w:right w:w="120" w:type="dxa"/>
            </w:tcMar>
            <w:vAlign w:val="center"/>
          </w:tcPr>
          <w:p w14:paraId="6EB369DA" w14:textId="77777777" w:rsidR="00813CB8" w:rsidRPr="00312B84" w:rsidRDefault="002B4BED">
            <w:pPr>
              <w:spacing w:after="40"/>
              <w:rPr>
                <w:sz w:val="24"/>
                <w:szCs w:val="24"/>
              </w:rPr>
            </w:pPr>
            <w:r w:rsidRPr="00312B84">
              <w:rPr>
                <w:rFonts w:ascii="Arial" w:eastAsia="Arial" w:hAnsi="Arial" w:cs="Arial"/>
                <w:color w:val="22303C"/>
                <w:sz w:val="15"/>
                <w:szCs w:val="15"/>
              </w:rPr>
              <w:t>•  None — $1.7bn undrawn JPM facility, extended to 2031 in July; 1.23x net</w:t>
            </w:r>
          </w:p>
          <w:p w14:paraId="6EB369DB" w14:textId="77777777" w:rsidR="00813CB8" w:rsidRPr="00312B84" w:rsidRDefault="002B4BED">
            <w:pPr>
              <w:spacing w:after="40"/>
              <w:rPr>
                <w:sz w:val="24"/>
                <w:szCs w:val="24"/>
              </w:rPr>
            </w:pPr>
            <w:r w:rsidRPr="00312B84">
              <w:rPr>
                <w:rFonts w:ascii="Arial" w:eastAsia="Arial" w:hAnsi="Arial" w:cs="Arial"/>
                <w:color w:val="22303C"/>
                <w:sz w:val="15"/>
                <w:szCs w:val="15"/>
              </w:rPr>
              <w:t>•  $500mm 6.25% 2031 notes issued May</w:t>
            </w:r>
          </w:p>
          <w:p w14:paraId="6EB369DC" w14:textId="77777777" w:rsidR="00813CB8" w:rsidRPr="00312B84" w:rsidRDefault="002B4BED">
            <w:pPr>
              <w:spacing w:after="40"/>
              <w:rPr>
                <w:sz w:val="24"/>
                <w:szCs w:val="24"/>
              </w:rPr>
            </w:pPr>
            <w:r w:rsidRPr="00312B84">
              <w:rPr>
                <w:rFonts w:ascii="Arial" w:eastAsia="Arial" w:hAnsi="Arial" w:cs="Arial"/>
                <w:color w:val="22303C"/>
                <w:sz w:val="15"/>
                <w:szCs w:val="15"/>
              </w:rPr>
              <w:t>•  $78mm repurchased FYTD, accretive +$0.04/sh</w:t>
            </w:r>
          </w:p>
        </w:tc>
      </w:tr>
      <w:tr w:rsidR="00813CB8" w:rsidRPr="00312B84" w14:paraId="6EB369EB" w14:textId="77777777">
        <w:trPr>
          <w:cantSplit/>
        </w:trPr>
        <w:tc>
          <w:tcPr>
            <w:tcW w:w="1290" w:type="dxa"/>
            <w:shd w:val="clear" w:color="auto" w:fill="EEF2F6"/>
            <w:tcMar>
              <w:top w:w="90" w:type="dxa"/>
              <w:left w:w="120" w:type="dxa"/>
              <w:bottom w:w="90" w:type="dxa"/>
              <w:right w:w="120" w:type="dxa"/>
            </w:tcMar>
            <w:vAlign w:val="center"/>
          </w:tcPr>
          <w:p w14:paraId="6EB369DE" w14:textId="77777777" w:rsidR="00813CB8" w:rsidRPr="00312B84" w:rsidRDefault="002B4BED">
            <w:pPr>
              <w:spacing w:after="40"/>
              <w:rPr>
                <w:sz w:val="24"/>
                <w:szCs w:val="24"/>
              </w:rPr>
            </w:pPr>
            <w:r w:rsidRPr="00312B84">
              <w:rPr>
                <w:rFonts w:ascii="Arial" w:eastAsia="Arial" w:hAnsi="Arial" w:cs="Arial"/>
                <w:b/>
                <w:bCs/>
                <w:color w:val="22303C"/>
                <w:sz w:val="15"/>
                <w:szCs w:val="15"/>
              </w:rPr>
              <w:t>P/NAV &amp; dividend yield</w:t>
            </w:r>
          </w:p>
        </w:tc>
        <w:tc>
          <w:tcPr>
            <w:tcW w:w="2314" w:type="dxa"/>
            <w:tcMar>
              <w:top w:w="90" w:type="dxa"/>
              <w:left w:w="120" w:type="dxa"/>
              <w:bottom w:w="90" w:type="dxa"/>
              <w:right w:w="120" w:type="dxa"/>
            </w:tcMar>
            <w:vAlign w:val="center"/>
          </w:tcPr>
          <w:p w14:paraId="6EB369DF" w14:textId="77777777" w:rsidR="00813CB8" w:rsidRPr="00312B84" w:rsidRDefault="002B4BED">
            <w:pPr>
              <w:spacing w:after="40"/>
              <w:rPr>
                <w:sz w:val="24"/>
                <w:szCs w:val="24"/>
              </w:rPr>
            </w:pPr>
            <w:r w:rsidRPr="00312B84">
              <w:rPr>
                <w:rFonts w:ascii="Arial" w:eastAsia="Arial" w:hAnsi="Arial" w:cs="Arial"/>
                <w:color w:val="22303C"/>
                <w:sz w:val="15"/>
                <w:szCs w:val="15"/>
              </w:rPr>
              <w:t>•  P/NAV 0.70x — widest discount of six</w:t>
            </w:r>
          </w:p>
          <w:p w14:paraId="6EB369E0" w14:textId="77777777" w:rsidR="00813CB8" w:rsidRPr="00312B84" w:rsidRDefault="002B4BED">
            <w:pPr>
              <w:spacing w:after="40"/>
              <w:rPr>
                <w:sz w:val="24"/>
                <w:szCs w:val="24"/>
              </w:rPr>
            </w:pPr>
            <w:r w:rsidRPr="00312B84">
              <w:rPr>
                <w:rFonts w:ascii="Arial" w:eastAsia="Arial" w:hAnsi="Arial" w:cs="Arial"/>
                <w:color w:val="22303C"/>
                <w:sz w:val="15"/>
                <w:szCs w:val="15"/>
              </w:rPr>
              <w:t>•  Yield on price 12.2% base; 14.0% incl. final special</w:t>
            </w:r>
          </w:p>
        </w:tc>
        <w:tc>
          <w:tcPr>
            <w:tcW w:w="2314" w:type="dxa"/>
            <w:tcMar>
              <w:top w:w="90" w:type="dxa"/>
              <w:left w:w="120" w:type="dxa"/>
              <w:bottom w:w="90" w:type="dxa"/>
              <w:right w:w="120" w:type="dxa"/>
            </w:tcMar>
            <w:vAlign w:val="center"/>
          </w:tcPr>
          <w:p w14:paraId="6EB369E1" w14:textId="77777777" w:rsidR="00813CB8" w:rsidRPr="00312B84" w:rsidRDefault="002B4BED">
            <w:pPr>
              <w:spacing w:after="40"/>
              <w:rPr>
                <w:sz w:val="24"/>
                <w:szCs w:val="24"/>
              </w:rPr>
            </w:pPr>
            <w:r w:rsidRPr="00312B84">
              <w:rPr>
                <w:rFonts w:ascii="Arial" w:eastAsia="Arial" w:hAnsi="Arial" w:cs="Arial"/>
                <w:color w:val="22303C"/>
                <w:sz w:val="15"/>
                <w:szCs w:val="15"/>
              </w:rPr>
              <w:t>•  P/NAV 1.03x</w:t>
            </w:r>
          </w:p>
          <w:p w14:paraId="6EB369E2" w14:textId="77777777" w:rsidR="00813CB8" w:rsidRPr="00312B84" w:rsidRDefault="002B4BED">
            <w:pPr>
              <w:spacing w:after="40"/>
              <w:rPr>
                <w:sz w:val="24"/>
                <w:szCs w:val="24"/>
              </w:rPr>
            </w:pPr>
            <w:r w:rsidRPr="00312B84">
              <w:rPr>
                <w:rFonts w:ascii="Arial" w:eastAsia="Arial" w:hAnsi="Arial" w:cs="Arial"/>
                <w:color w:val="22303C"/>
                <w:sz w:val="15"/>
                <w:szCs w:val="15"/>
              </w:rPr>
              <w:t>•  Yield on price 9.7%</w:t>
            </w:r>
          </w:p>
        </w:tc>
        <w:tc>
          <w:tcPr>
            <w:tcW w:w="2314" w:type="dxa"/>
            <w:tcMar>
              <w:top w:w="90" w:type="dxa"/>
              <w:left w:w="120" w:type="dxa"/>
              <w:bottom w:w="90" w:type="dxa"/>
              <w:right w:w="120" w:type="dxa"/>
            </w:tcMar>
            <w:vAlign w:val="center"/>
          </w:tcPr>
          <w:p w14:paraId="6EB369E3" w14:textId="77777777" w:rsidR="00813CB8" w:rsidRPr="00312B84" w:rsidRDefault="002B4BED">
            <w:pPr>
              <w:spacing w:after="40"/>
              <w:rPr>
                <w:sz w:val="24"/>
                <w:szCs w:val="24"/>
              </w:rPr>
            </w:pPr>
            <w:r w:rsidRPr="00312B84">
              <w:rPr>
                <w:rFonts w:ascii="Arial" w:eastAsia="Arial" w:hAnsi="Arial" w:cs="Arial"/>
                <w:color w:val="22303C"/>
                <w:sz w:val="15"/>
                <w:szCs w:val="15"/>
              </w:rPr>
              <w:t>•  P/NAV 0.97x</w:t>
            </w:r>
          </w:p>
          <w:p w14:paraId="6EB369E4" w14:textId="77777777" w:rsidR="00813CB8" w:rsidRPr="00312B84" w:rsidRDefault="002B4BED">
            <w:pPr>
              <w:spacing w:after="40"/>
              <w:rPr>
                <w:sz w:val="24"/>
                <w:szCs w:val="24"/>
              </w:rPr>
            </w:pPr>
            <w:r w:rsidRPr="00312B84">
              <w:rPr>
                <w:rFonts w:ascii="Arial" w:eastAsia="Arial" w:hAnsi="Arial" w:cs="Arial"/>
                <w:color w:val="22303C"/>
                <w:sz w:val="15"/>
                <w:szCs w:val="15"/>
              </w:rPr>
              <w:t>•  Yield on price 12.5% — pre-modelled cut</w:t>
            </w:r>
          </w:p>
        </w:tc>
        <w:tc>
          <w:tcPr>
            <w:tcW w:w="2314" w:type="dxa"/>
            <w:tcMar>
              <w:top w:w="90" w:type="dxa"/>
              <w:left w:w="120" w:type="dxa"/>
              <w:bottom w:w="90" w:type="dxa"/>
              <w:right w:w="120" w:type="dxa"/>
            </w:tcMar>
            <w:vAlign w:val="center"/>
          </w:tcPr>
          <w:p w14:paraId="6EB369E5" w14:textId="77777777" w:rsidR="00813CB8" w:rsidRPr="00312B84" w:rsidRDefault="002B4BED">
            <w:pPr>
              <w:spacing w:after="40"/>
              <w:rPr>
                <w:sz w:val="24"/>
                <w:szCs w:val="24"/>
              </w:rPr>
            </w:pPr>
            <w:r w:rsidRPr="00312B84">
              <w:rPr>
                <w:rFonts w:ascii="Arial" w:eastAsia="Arial" w:hAnsi="Arial" w:cs="Arial"/>
                <w:color w:val="22303C"/>
                <w:sz w:val="15"/>
                <w:szCs w:val="15"/>
              </w:rPr>
              <w:t>•  P/NAV 0.82x</w:t>
            </w:r>
          </w:p>
          <w:p w14:paraId="6EB369E6" w14:textId="77777777" w:rsidR="00813CB8" w:rsidRPr="00312B84" w:rsidRDefault="002B4BED">
            <w:pPr>
              <w:spacing w:after="40"/>
              <w:rPr>
                <w:sz w:val="24"/>
                <w:szCs w:val="24"/>
              </w:rPr>
            </w:pPr>
            <w:r w:rsidRPr="00312B84">
              <w:rPr>
                <w:rFonts w:ascii="Arial" w:eastAsia="Arial" w:hAnsi="Arial" w:cs="Arial"/>
                <w:color w:val="22303C"/>
                <w:sz w:val="15"/>
                <w:szCs w:val="15"/>
              </w:rPr>
              <w:t>•  Yield on price 10.6% regular; ~11.3% incl. supplemental</w:t>
            </w:r>
          </w:p>
        </w:tc>
        <w:tc>
          <w:tcPr>
            <w:tcW w:w="2314" w:type="dxa"/>
            <w:tcMar>
              <w:top w:w="90" w:type="dxa"/>
              <w:left w:w="120" w:type="dxa"/>
              <w:bottom w:w="90" w:type="dxa"/>
              <w:right w:w="120" w:type="dxa"/>
            </w:tcMar>
            <w:vAlign w:val="center"/>
          </w:tcPr>
          <w:p w14:paraId="6EB369E7" w14:textId="77777777" w:rsidR="00813CB8" w:rsidRPr="00312B84" w:rsidRDefault="002B4BED">
            <w:pPr>
              <w:spacing w:after="40"/>
              <w:rPr>
                <w:sz w:val="24"/>
                <w:szCs w:val="24"/>
              </w:rPr>
            </w:pPr>
            <w:r w:rsidRPr="00312B84">
              <w:rPr>
                <w:rFonts w:ascii="Arial" w:eastAsia="Arial" w:hAnsi="Arial" w:cs="Arial"/>
                <w:color w:val="22303C"/>
                <w:sz w:val="15"/>
                <w:szCs w:val="15"/>
              </w:rPr>
              <w:t>•  P/NAV 1.16x — only premium of six</w:t>
            </w:r>
          </w:p>
          <w:p w14:paraId="6EB369E8" w14:textId="77777777" w:rsidR="00813CB8" w:rsidRPr="00312B84" w:rsidRDefault="002B4BED">
            <w:pPr>
              <w:spacing w:after="40"/>
              <w:rPr>
                <w:sz w:val="24"/>
                <w:szCs w:val="24"/>
              </w:rPr>
            </w:pPr>
            <w:r w:rsidRPr="00312B84">
              <w:rPr>
                <w:rFonts w:ascii="Arial" w:eastAsia="Arial" w:hAnsi="Arial" w:cs="Arial"/>
                <w:color w:val="22303C"/>
                <w:sz w:val="15"/>
                <w:szCs w:val="15"/>
              </w:rPr>
              <w:t>•  Yield on price 9.0%</w:t>
            </w:r>
          </w:p>
        </w:tc>
        <w:tc>
          <w:tcPr>
            <w:tcW w:w="2316" w:type="dxa"/>
            <w:tcMar>
              <w:top w:w="90" w:type="dxa"/>
              <w:left w:w="120" w:type="dxa"/>
              <w:bottom w:w="90" w:type="dxa"/>
              <w:right w:w="120" w:type="dxa"/>
            </w:tcMar>
            <w:vAlign w:val="center"/>
          </w:tcPr>
          <w:p w14:paraId="6EB369E9" w14:textId="77777777" w:rsidR="00813CB8" w:rsidRPr="00312B84" w:rsidRDefault="002B4BED">
            <w:pPr>
              <w:spacing w:after="40"/>
              <w:rPr>
                <w:sz w:val="24"/>
                <w:szCs w:val="24"/>
              </w:rPr>
            </w:pPr>
            <w:r w:rsidRPr="00312B84">
              <w:rPr>
                <w:rFonts w:ascii="Arial" w:eastAsia="Arial" w:hAnsi="Arial" w:cs="Arial"/>
                <w:color w:val="22303C"/>
                <w:sz w:val="15"/>
                <w:szCs w:val="15"/>
              </w:rPr>
              <w:t>•  P/NAV 0.93x</w:t>
            </w:r>
          </w:p>
          <w:p w14:paraId="6EB369EA" w14:textId="77777777" w:rsidR="00813CB8" w:rsidRPr="00312B84" w:rsidRDefault="002B4BED">
            <w:pPr>
              <w:spacing w:after="40"/>
              <w:rPr>
                <w:sz w:val="24"/>
                <w:szCs w:val="24"/>
              </w:rPr>
            </w:pPr>
            <w:r w:rsidRPr="00312B84">
              <w:rPr>
                <w:rFonts w:ascii="Arial" w:eastAsia="Arial" w:hAnsi="Arial" w:cs="Arial"/>
                <w:color w:val="22303C"/>
                <w:sz w:val="15"/>
                <w:szCs w:val="15"/>
              </w:rPr>
              <w:t>•  Yield on price 10.0%</w:t>
            </w:r>
          </w:p>
        </w:tc>
      </w:tr>
    </w:tbl>
    <w:p w14:paraId="6EB369EC" w14:textId="77777777" w:rsidR="00813CB8" w:rsidRPr="00312B84" w:rsidRDefault="002B4BED">
      <w:pPr>
        <w:spacing w:after="200"/>
        <w:ind w:left="200"/>
        <w:rPr>
          <w:sz w:val="24"/>
          <w:szCs w:val="24"/>
        </w:rPr>
      </w:pPr>
      <w:r w:rsidRPr="00312B84">
        <w:rPr>
          <w:rFonts w:ascii="Arial" w:eastAsia="Arial" w:hAnsi="Arial" w:cs="Arial"/>
          <w:i/>
          <w:iCs/>
          <w:color w:val="5A6B7B"/>
          <w:sz w:val="13"/>
          <w:szCs w:val="13"/>
        </w:rPr>
        <w:t>All fundamentals from each company's Q2'26 Form 10-Q — GBDC's June quarter is its fiscal Q3, so its balance-sheet comparatives run from September 2025; BXSL, OBDC, TSLX and GBDC 10-Qs print half-year or fiscal-year-to-date NAV comparisons rather than QoQ. P/NAV and dividend yields computed on 14 August 2026 closes against June-30 NAV; dividend yields annualize the declared regular dividend. Source: company 10-Q filings; stockanalysis.com closes</w:t>
      </w:r>
    </w:p>
    <w:p w14:paraId="6EB369ED" w14:textId="77777777" w:rsidR="00813CB8" w:rsidRPr="00312B84" w:rsidRDefault="00813CB8">
      <w:pPr>
        <w:rPr>
          <w:sz w:val="24"/>
          <w:szCs w:val="24"/>
        </w:rPr>
        <w:sectPr w:rsidR="00813CB8" w:rsidRPr="00312B84">
          <w:headerReference w:type="default" r:id="rId44"/>
          <w:footerReference w:type="default" r:id="rId45"/>
          <w:pgSz w:w="16838" w:h="11906" w:orient="landscape" w:code="9"/>
          <w:pgMar w:top="1280" w:right="832" w:bottom="600" w:left="830" w:header="440" w:footer="300" w:gutter="0"/>
          <w:cols w:space="720"/>
          <w:docGrid w:linePitch="360"/>
        </w:sectPr>
      </w:pPr>
    </w:p>
    <w:p w14:paraId="6EB369EE" w14:textId="77777777" w:rsidR="00813CB8" w:rsidRPr="00312B84" w:rsidRDefault="002B4BED">
      <w:pPr>
        <w:pStyle w:val="3"/>
        <w:spacing w:before="200" w:after="100"/>
        <w:ind w:left="110"/>
        <w:rPr>
          <w:sz w:val="21"/>
          <w:szCs w:val="21"/>
        </w:rPr>
      </w:pPr>
      <w:r w:rsidRPr="00312B84">
        <w:rPr>
          <w:rFonts w:eastAsia="Calibri Light"/>
          <w:color w:val="001F5F"/>
          <w:sz w:val="28"/>
          <w:szCs w:val="28"/>
        </w:rPr>
        <w:lastRenderedPageBreak/>
        <w:t>2.6.2 Return comparison</w:t>
      </w:r>
    </w:p>
    <w:p w14:paraId="6EB369EF" w14:textId="08B1F76A" w:rsidR="00813CB8" w:rsidRPr="00312B84" w:rsidRDefault="002B4BED" w:rsidP="00636FA1">
      <w:pPr>
        <w:spacing w:before="160" w:after="80"/>
        <w:ind w:left="200"/>
        <w:rPr>
          <w:sz w:val="24"/>
          <w:szCs w:val="24"/>
        </w:rPr>
      </w:pPr>
      <w:r w:rsidRPr="00312B84">
        <w:rPr>
          <w:rFonts w:eastAsia="Calibri Light"/>
          <w:b/>
          <w:bCs/>
          <w:color w:val="1C3660"/>
          <w:sz w:val="24"/>
          <w:szCs w:val="24"/>
        </w:rPr>
        <w:t>NAV per share</w:t>
      </w:r>
      <w:r w:rsidR="00167E75" w:rsidRPr="00312B84">
        <w:rPr>
          <w:rFonts w:hint="eastAsia"/>
          <w:b/>
          <w:bCs/>
          <w:color w:val="1C3660"/>
          <w:sz w:val="24"/>
          <w:szCs w:val="24"/>
        </w:rPr>
        <w:t xml:space="preserve"> &amp; </w:t>
      </w:r>
      <w:r w:rsidR="00167E75" w:rsidRPr="00312B84">
        <w:rPr>
          <w:rFonts w:eastAsia="Calibri Light"/>
          <w:b/>
          <w:bCs/>
          <w:color w:val="1C3660"/>
          <w:sz w:val="24"/>
          <w:szCs w:val="24"/>
        </w:rPr>
        <w:t>Dividend yield</w:t>
      </w:r>
    </w:p>
    <w:p w14:paraId="6EB369F0" w14:textId="39616BF8" w:rsidR="00813CB8" w:rsidRPr="00312B84" w:rsidRDefault="002B4BED" w:rsidP="00167E75">
      <w:pPr>
        <w:spacing w:before="120" w:after="160"/>
        <w:rPr>
          <w:sz w:val="24"/>
          <w:szCs w:val="24"/>
        </w:rPr>
      </w:pPr>
      <w:r w:rsidRPr="00312B84">
        <w:rPr>
          <w:noProof/>
          <w:sz w:val="24"/>
          <w:szCs w:val="24"/>
        </w:rPr>
        <w:drawing>
          <wp:inline distT="0" distB="0" distL="0" distR="0" wp14:anchorId="6EB36AA9" wp14:editId="03E4B90A">
            <wp:extent cx="3341760" cy="1950177"/>
            <wp:effectExtent l="0" t="0" r="4445" b="0"/>
            <wp:docPr id="408988253" name="图片 40898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356584" cy="1958828"/>
                    </a:xfrm>
                    <a:prstGeom prst="rect">
                      <a:avLst/>
                    </a:prstGeom>
                  </pic:spPr>
                </pic:pic>
              </a:graphicData>
            </a:graphic>
          </wp:inline>
        </w:drawing>
      </w:r>
      <w:r w:rsidR="00167E75" w:rsidRPr="00312B84">
        <w:rPr>
          <w:noProof/>
          <w:sz w:val="24"/>
          <w:szCs w:val="24"/>
        </w:rPr>
        <w:drawing>
          <wp:inline distT="0" distB="0" distL="0" distR="0" wp14:anchorId="6977DFB5" wp14:editId="4A35E39E">
            <wp:extent cx="3106789" cy="1813053"/>
            <wp:effectExtent l="0" t="0" r="0" b="8890"/>
            <wp:docPr id="1619394654" name="图片 161939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49452" name=""/>
                    <pic:cNvPicPr>
                      <a:picLocks noChangeAspect="1" noChangeArrowheads="1"/>
                    </pic:cNvPicPr>
                  </pic:nvPicPr>
                  <pic:blipFill>
                    <a:blip r:embed="rId47"/>
                    <a:srcRect/>
                    <a:stretch>
                      <a:fillRect/>
                    </a:stretch>
                  </pic:blipFill>
                  <pic:spPr bwMode="auto">
                    <a:xfrm>
                      <a:off x="0" y="0"/>
                      <a:ext cx="3124599" cy="1823446"/>
                    </a:xfrm>
                    <a:prstGeom prst="rect">
                      <a:avLst/>
                    </a:prstGeom>
                  </pic:spPr>
                </pic:pic>
              </a:graphicData>
            </a:graphic>
          </wp:inline>
        </w:drawing>
      </w:r>
    </w:p>
    <w:p w14:paraId="6EB369F3" w14:textId="3AC0F8A7" w:rsidR="00813CB8" w:rsidRPr="00312B84" w:rsidRDefault="002B4BED" w:rsidP="00167E75">
      <w:pPr>
        <w:spacing w:after="120"/>
        <w:ind w:left="200"/>
        <w:jc w:val="both"/>
        <w:rPr>
          <w:sz w:val="24"/>
          <w:szCs w:val="24"/>
        </w:rPr>
      </w:pPr>
      <w:r w:rsidRPr="00312B84">
        <w:rPr>
          <w:rFonts w:eastAsia="Calibri Light"/>
          <w:color w:val="000000"/>
          <w:sz w:val="24"/>
          <w:szCs w:val="24"/>
        </w:rPr>
        <w:t>Every NAV in the cohort is lower than five quarters ago, and the declines cluster in a narrow band — BXSL −6.8% from its 1Q25 level, TSLX −5.0%, OTF −3.6% from its 1Q25 $17.1 — which is the signature of a common spread-mark shock rather than firm-specific credit losses. OTF's flat Q2 print, alongside ARCC's −1.2%, puts the two portfolios with the largest software books at opposite ends of the same narrow outcome, and the QoQ stabilization across the group is the first since the software repricing began in 4Q25.</w:t>
      </w:r>
    </w:p>
    <w:p w14:paraId="6EB369F4" w14:textId="77777777" w:rsidR="00813CB8" w:rsidRPr="00312B84" w:rsidRDefault="002B4BED">
      <w:pPr>
        <w:spacing w:after="120"/>
        <w:ind w:left="200"/>
        <w:jc w:val="both"/>
        <w:rPr>
          <w:sz w:val="24"/>
          <w:szCs w:val="24"/>
        </w:rPr>
      </w:pPr>
      <w:r w:rsidRPr="00312B84">
        <w:rPr>
          <w:rFonts w:eastAsia="Calibri Light"/>
          <w:color w:val="000000"/>
          <w:sz w:val="24"/>
          <w:szCs w:val="24"/>
        </w:rPr>
        <w:t>The payout resets of the past two quarters show up as converging yields on NAV: OBDC's cut takes it to 8.7% and GBDC's to 9.3%, while OTF's 9.7% — still flattered by the final $0.05 special — lands in the middle of the pack rather than at the top. BXSL's 12.1% is the outlier and is best read as unsustainable: its coverage is 97% ahead of a modelled cut, so the chart overstates its durable yield. From Q4'26 OTF's base-only yield on NAV is 8.5%, which repositions it toward the low end — the price yield story at 12%+ exists only because of the 0.70x discount.</w:t>
      </w:r>
    </w:p>
    <w:p w14:paraId="6EB369F5" w14:textId="77777777" w:rsidR="00813CB8" w:rsidRPr="00312B84" w:rsidRDefault="002B4BED">
      <w:pPr>
        <w:spacing w:before="160" w:after="80"/>
        <w:ind w:left="200"/>
        <w:rPr>
          <w:sz w:val="24"/>
          <w:szCs w:val="24"/>
        </w:rPr>
      </w:pPr>
      <w:r w:rsidRPr="00312B84">
        <w:rPr>
          <w:rFonts w:eastAsia="Calibri Light"/>
          <w:b/>
          <w:bCs/>
          <w:color w:val="1C3660"/>
          <w:sz w:val="24"/>
          <w:szCs w:val="24"/>
        </w:rPr>
        <w:t>PIK income %</w:t>
      </w:r>
    </w:p>
    <w:p w14:paraId="6EB369F6" w14:textId="77777777" w:rsidR="00813CB8" w:rsidRPr="00312B84" w:rsidRDefault="002B4BED">
      <w:pPr>
        <w:spacing w:before="120" w:after="160"/>
        <w:jc w:val="center"/>
        <w:rPr>
          <w:sz w:val="24"/>
          <w:szCs w:val="24"/>
        </w:rPr>
      </w:pPr>
      <w:r w:rsidRPr="00312B84">
        <w:rPr>
          <w:noProof/>
          <w:sz w:val="24"/>
          <w:szCs w:val="24"/>
        </w:rPr>
        <w:drawing>
          <wp:inline distT="0" distB="0" distL="0" distR="0" wp14:anchorId="6EB36AAD" wp14:editId="46D9AC85">
            <wp:extent cx="5037414" cy="2939723"/>
            <wp:effectExtent l="0" t="0" r="0" b="0"/>
            <wp:docPr id="73707952" name="图片 7370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055397" cy="2950217"/>
                    </a:xfrm>
                    <a:prstGeom prst="rect">
                      <a:avLst/>
                    </a:prstGeom>
                  </pic:spPr>
                </pic:pic>
              </a:graphicData>
            </a:graphic>
          </wp:inline>
        </w:drawing>
      </w:r>
    </w:p>
    <w:p w14:paraId="6EB369F7" w14:textId="77777777" w:rsidR="00813CB8" w:rsidRPr="00312B84" w:rsidRDefault="002B4BED">
      <w:pPr>
        <w:spacing w:after="120"/>
        <w:ind w:left="200"/>
        <w:jc w:val="both"/>
        <w:rPr>
          <w:sz w:val="24"/>
          <w:szCs w:val="24"/>
        </w:rPr>
      </w:pPr>
      <w:r w:rsidRPr="00312B84">
        <w:rPr>
          <w:rFonts w:eastAsia="Calibri Light"/>
          <w:color w:val="000000"/>
          <w:sz w:val="24"/>
          <w:szCs w:val="24"/>
        </w:rPr>
        <w:t xml:space="preserve">OTF's PIK share has declined for two straight quarters to 12.5% while the group's diversified names drifted up — GBDC to 11.0% from 10.2% five quarters ago, OBDC to 10.7% — so the gap between OTF and the diversified cohort has narrowed from roughly 5pp at the start of 2025 to under 2pp. ARCC remains the highest at 15.8%, a reminder that elevated PIK is partly a business-model choice in upper-middle-market lending; the credit-relevant question is direction, and OTF is the only name of the six trending down for </w:t>
      </w:r>
      <w:r w:rsidRPr="00312B84">
        <w:rPr>
          <w:rFonts w:eastAsia="Calibri Light"/>
          <w:color w:val="000000"/>
          <w:sz w:val="24"/>
          <w:szCs w:val="24"/>
        </w:rPr>
        <w:lastRenderedPageBreak/>
        <w:t>two consecutive quarters.</w:t>
      </w:r>
    </w:p>
    <w:p w14:paraId="6EB369F8" w14:textId="77777777" w:rsidR="00813CB8" w:rsidRPr="00312B84" w:rsidRDefault="002B4BED">
      <w:pPr>
        <w:pStyle w:val="3"/>
        <w:spacing w:before="200" w:after="100"/>
        <w:ind w:left="110"/>
        <w:rPr>
          <w:sz w:val="21"/>
          <w:szCs w:val="21"/>
        </w:rPr>
      </w:pPr>
      <w:r w:rsidRPr="00312B84">
        <w:rPr>
          <w:rFonts w:eastAsia="Calibri Light"/>
          <w:color w:val="001F5F"/>
          <w:sz w:val="28"/>
          <w:szCs w:val="28"/>
        </w:rPr>
        <w:t>2.6.3 Asset quality comparison</w:t>
      </w:r>
    </w:p>
    <w:p w14:paraId="6EB369F9" w14:textId="129984BD" w:rsidR="00813CB8" w:rsidRPr="00312B84" w:rsidRDefault="002B4BED" w:rsidP="00167E75">
      <w:pPr>
        <w:spacing w:before="160" w:after="80"/>
        <w:ind w:left="200"/>
        <w:rPr>
          <w:sz w:val="24"/>
          <w:szCs w:val="24"/>
        </w:rPr>
      </w:pPr>
      <w:r w:rsidRPr="00312B84">
        <w:rPr>
          <w:rFonts w:eastAsia="Calibri Light"/>
          <w:b/>
          <w:bCs/>
          <w:color w:val="1C3660"/>
          <w:sz w:val="24"/>
          <w:szCs w:val="24"/>
        </w:rPr>
        <w:t>Non-accrual%</w:t>
      </w:r>
      <w:r w:rsidR="00167E75" w:rsidRPr="00312B84">
        <w:rPr>
          <w:rFonts w:hint="eastAsia"/>
          <w:b/>
          <w:bCs/>
          <w:color w:val="1C3660"/>
          <w:sz w:val="24"/>
          <w:szCs w:val="24"/>
        </w:rPr>
        <w:t xml:space="preserve"> &amp; </w:t>
      </w:r>
      <w:r w:rsidR="00167E75" w:rsidRPr="00312B84">
        <w:rPr>
          <w:rFonts w:eastAsia="Calibri Light"/>
          <w:b/>
          <w:bCs/>
          <w:color w:val="1C3660"/>
          <w:sz w:val="24"/>
          <w:szCs w:val="24"/>
        </w:rPr>
        <w:t xml:space="preserve">Portfolio company average EBITDA </w:t>
      </w:r>
    </w:p>
    <w:p w14:paraId="6EB369FA" w14:textId="54E4394F" w:rsidR="00167E75" w:rsidRPr="00312B84" w:rsidRDefault="002B4BED" w:rsidP="00167E75">
      <w:pPr>
        <w:spacing w:before="120" w:after="160"/>
        <w:rPr>
          <w:sz w:val="24"/>
          <w:szCs w:val="24"/>
        </w:rPr>
      </w:pPr>
      <w:r w:rsidRPr="00312B84">
        <w:rPr>
          <w:noProof/>
          <w:sz w:val="24"/>
          <w:szCs w:val="24"/>
        </w:rPr>
        <w:drawing>
          <wp:inline distT="0" distB="0" distL="0" distR="0" wp14:anchorId="6EB36AAF" wp14:editId="0D69C279">
            <wp:extent cx="3325243" cy="1940539"/>
            <wp:effectExtent l="0" t="0" r="0" b="8255"/>
            <wp:docPr id="781288990" name="图片 781288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342789" cy="1950778"/>
                    </a:xfrm>
                    <a:prstGeom prst="rect">
                      <a:avLst/>
                    </a:prstGeom>
                  </pic:spPr>
                </pic:pic>
              </a:graphicData>
            </a:graphic>
          </wp:inline>
        </w:drawing>
      </w:r>
      <w:r w:rsidR="008714B0" w:rsidRPr="00312B84">
        <w:rPr>
          <w:noProof/>
          <w:sz w:val="24"/>
          <w:szCs w:val="24"/>
        </w:rPr>
        <w:drawing>
          <wp:inline distT="0" distB="0" distL="0" distR="0" wp14:anchorId="6F79AD00" wp14:editId="482A9BAB">
            <wp:extent cx="3166913" cy="1847367"/>
            <wp:effectExtent l="0" t="0" r="0" b="0"/>
            <wp:docPr id="6163779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89803" cy="1860720"/>
                    </a:xfrm>
                    <a:prstGeom prst="rect">
                      <a:avLst/>
                    </a:prstGeom>
                    <a:noFill/>
                    <a:ln>
                      <a:noFill/>
                    </a:ln>
                  </pic:spPr>
                </pic:pic>
              </a:graphicData>
            </a:graphic>
          </wp:inline>
        </w:drawing>
      </w:r>
    </w:p>
    <w:p w14:paraId="0F4EBB64" w14:textId="77777777" w:rsidR="00C27C7A" w:rsidRPr="00312B84" w:rsidRDefault="002B4BED">
      <w:pPr>
        <w:spacing w:after="120"/>
        <w:ind w:left="200"/>
        <w:jc w:val="both"/>
        <w:rPr>
          <w:sz w:val="24"/>
          <w:szCs w:val="24"/>
        </w:rPr>
      </w:pPr>
      <w:r w:rsidRPr="00312B84">
        <w:rPr>
          <w:rFonts w:eastAsia="Calibri Light"/>
          <w:color w:val="000000"/>
          <w:sz w:val="24"/>
          <w:szCs w:val="24"/>
        </w:rPr>
        <w:t>The fair-value non-accrual chart makes the quarter's dispersion visible: BXSL spiked to 3.1% in 1Q26 on Medallia before settling at 1.8% as marks were taken, GBDC ground steadily higher to 1.9%, and ARCC and TSLX sit in the 1.3–1.4% band — while OTF has never printed above 0.2% since listing and ended at 0.1%. Two caveats keep the comparison honest: OTF's book is younger post-merger and its software borrowers' stress, if it comes, would arrive on the 2028 refinancing wall rather than in current coupons; and ARCC and BXSL count only loans in the numerator, which reads slightly low. Even so, five quarters into the AI repricing, realized credit stress at OTF remains an order of magnitude below every peer.</w:t>
      </w:r>
      <w:r w:rsidR="00C27C7A" w:rsidRPr="00312B84">
        <w:rPr>
          <w:sz w:val="24"/>
          <w:szCs w:val="24"/>
        </w:rPr>
        <w:t xml:space="preserve"> </w:t>
      </w:r>
    </w:p>
    <w:p w14:paraId="6EB369FD" w14:textId="6A91C122" w:rsidR="00813CB8" w:rsidRPr="00312B84" w:rsidRDefault="00C27C7A" w:rsidP="00C27C7A">
      <w:pPr>
        <w:spacing w:after="120"/>
        <w:ind w:left="200"/>
        <w:jc w:val="both"/>
        <w:rPr>
          <w:sz w:val="24"/>
          <w:szCs w:val="24"/>
        </w:rPr>
      </w:pPr>
      <w:r w:rsidRPr="00312B84">
        <w:rPr>
          <w:rFonts w:eastAsia="Calibri Light"/>
          <w:color w:val="000000"/>
          <w:sz w:val="24"/>
          <w:szCs w:val="24"/>
        </w:rPr>
        <w:t>Borrower size sorts the six into three tiers: ARCC and OTF at $270–290mm of weighted average EBITDA, OBDC and BXSL at $220–240mm, TSLX's core book at $137mm, and GBDC — which publishes only a median, so its level is not comparable — at $75mm. OTF has risen every quarter but one since 1Q25, $250.9mm to $290.8mm or +15.9%, and crossed above ARCC for the first time this quarter as ARCC rolled over $32.8mm from its 4Q25 peak of $307.2mm. The direction is right but the composition is not: $38.7mm of OTF's $39.9mm increase landed in the three quarters through 4Q25, when the OTF II merger pulled larger borrowers into the book, and the two quarters since have added $1.2mm. Borrower earnings growth is the variable the AI disruption thesis says should deteriorate first; at the portfolio-weighted level it has stopped compounding without yet turning down, which is a weaker read than the 2025 slope suggests. Three caveats: the figures are fair-value weighted, so a handful of large positions drive them; they come from borrower financials roughly a quarter in arrears, so 2Q26 reflects results through March; and none of the six discloses position-level dispersion.</w:t>
      </w:r>
    </w:p>
    <w:p w14:paraId="6EB369FF" w14:textId="77777777" w:rsidR="00813CB8" w:rsidRPr="00312B84" w:rsidRDefault="002B4BED">
      <w:pPr>
        <w:pStyle w:val="2"/>
        <w:spacing w:before="560" w:after="140"/>
        <w:rPr>
          <w:sz w:val="22"/>
          <w:szCs w:val="22"/>
        </w:rPr>
      </w:pPr>
      <w:r w:rsidRPr="00312B84">
        <w:rPr>
          <w:rFonts w:eastAsia="Calibri Light"/>
          <w:color w:val="001F5F"/>
          <w:sz w:val="40"/>
          <w:szCs w:val="40"/>
        </w:rPr>
        <w:t>2.7 Things we should know</w:t>
      </w:r>
    </w:p>
    <w:p w14:paraId="6EB36A00" w14:textId="77777777" w:rsidR="00813CB8" w:rsidRPr="00312B84" w:rsidRDefault="002B4BED">
      <w:pPr>
        <w:spacing w:before="160" w:after="80"/>
        <w:ind w:left="200"/>
        <w:rPr>
          <w:sz w:val="24"/>
          <w:szCs w:val="24"/>
        </w:rPr>
      </w:pPr>
      <w:r w:rsidRPr="00312B84">
        <w:rPr>
          <w:rFonts w:eastAsia="Calibri Light"/>
          <w:b/>
          <w:bCs/>
          <w:color w:val="1C3660"/>
          <w:sz w:val="24"/>
          <w:szCs w:val="24"/>
        </w:rPr>
        <w:t>Fee mechanics have entered a non-linear zone</w:t>
      </w:r>
    </w:p>
    <w:p w14:paraId="6EB36A01" w14:textId="77777777" w:rsidR="00813CB8" w:rsidRPr="00312B84" w:rsidRDefault="002B4BED">
      <w:pPr>
        <w:spacing w:after="120"/>
        <w:ind w:left="200"/>
        <w:jc w:val="both"/>
        <w:rPr>
          <w:sz w:val="24"/>
          <w:szCs w:val="24"/>
        </w:rPr>
      </w:pPr>
      <w:r w:rsidRPr="00312B84">
        <w:rPr>
          <w:rFonts w:eastAsia="Calibri Light"/>
          <w:color w:val="000000"/>
          <w:sz w:val="24"/>
          <w:szCs w:val="24"/>
        </w:rPr>
        <w:t>Two fee breakpoints now sit close to current operating levels. First, the management fee steps from 1.50% to 1.00% on average gross assets below a 200% asset-coverage ratio; OTF ended the quarter at 203%, so nearly all incremental leverage from here is charged at the lower 1.00% marginal rate — a modest but real offset to the cost of the leverage build. Second, the income incentive fee moved to the post-listing schedule of 17.5% above a 1.5% quarterly hurdle, with the catch-up completing at 1.82% of NAV per quarter. Q2 pre-incentive income ran at roughly 2.2% of opening NAV, safely in the 17.5% marginal zone, but a decline of about 18% in quarterly NII would drop the fund into the catch-up band, where each marginal dollar of income accrues entirely to the adviser. With base coverage at 86%, this non-linearity deserves a standing line in the quarterly review; the capital-gains incentive accrual was zero this quarter after Q1's $38.8mm reversal.</w:t>
      </w:r>
    </w:p>
    <w:p w14:paraId="6EB36A02" w14:textId="77777777" w:rsidR="00813CB8" w:rsidRPr="00312B84" w:rsidRDefault="002B4BED">
      <w:pPr>
        <w:spacing w:before="160" w:after="80"/>
        <w:ind w:left="200"/>
        <w:rPr>
          <w:sz w:val="24"/>
          <w:szCs w:val="24"/>
        </w:rPr>
      </w:pPr>
      <w:r w:rsidRPr="00312B84">
        <w:rPr>
          <w:rFonts w:eastAsia="Calibri Light"/>
          <w:b/>
          <w:bCs/>
          <w:color w:val="1C3660"/>
          <w:sz w:val="24"/>
          <w:szCs w:val="24"/>
        </w:rPr>
        <w:lastRenderedPageBreak/>
        <w:t>The distribution resets from Q4'26</w:t>
      </w:r>
    </w:p>
    <w:p w14:paraId="6EB36A03" w14:textId="77777777" w:rsidR="00813CB8" w:rsidRPr="00312B84" w:rsidRDefault="002B4BED">
      <w:pPr>
        <w:spacing w:after="120"/>
        <w:ind w:left="200"/>
        <w:jc w:val="both"/>
        <w:rPr>
          <w:sz w:val="24"/>
          <w:szCs w:val="24"/>
        </w:rPr>
      </w:pPr>
      <w:r w:rsidRPr="00312B84">
        <w:rPr>
          <w:rFonts w:eastAsia="Calibri Light"/>
          <w:color w:val="000000"/>
          <w:sz w:val="24"/>
          <w:szCs w:val="24"/>
        </w:rPr>
        <w:t>The five-tranche $0.05 special series ends with the October 6 payment, taking the run-rate distribution to the $0.35 base from Q4'26. On the August 14 close that resets the forward yield from 14.0% to 12.2%, and on NAV from 9.7% to 8.5% — repositioning OTF from the top half of the peer yield table to the middle. The board's response is the thing to watch: spillover income of $0.32 per share, roughly one quarter of base dividend, gives it room to bridge with a supplemental if it chooses, while GAAP base coverage of 86% argues for letting the yield reset. A supplemental announcement alongside Q3 results would be a deliberate signal about how management weighs the discount against balance-sheet conservatism.</w:t>
      </w:r>
    </w:p>
    <w:p w14:paraId="6EB36A04" w14:textId="77777777" w:rsidR="00813CB8" w:rsidRPr="00312B84" w:rsidRDefault="002B4BED">
      <w:pPr>
        <w:pStyle w:val="1"/>
        <w:spacing w:before="620" w:after="160"/>
        <w:rPr>
          <w:sz w:val="24"/>
          <w:szCs w:val="24"/>
        </w:rPr>
      </w:pPr>
      <w:r w:rsidRPr="00312B84">
        <w:rPr>
          <w:rFonts w:eastAsia="Calibri Light"/>
          <w:b/>
          <w:bCs/>
          <w:color w:val="1C3660"/>
          <w:sz w:val="48"/>
          <w:szCs w:val="48"/>
        </w:rPr>
        <w:t>3. Private credit &amp; public BDC industry</w:t>
      </w:r>
    </w:p>
    <w:p w14:paraId="6EB36A05" w14:textId="77777777" w:rsidR="00813CB8" w:rsidRPr="00312B84" w:rsidRDefault="002B4BED">
      <w:pPr>
        <w:pStyle w:val="2"/>
        <w:spacing w:before="560" w:after="140"/>
        <w:rPr>
          <w:sz w:val="22"/>
          <w:szCs w:val="22"/>
        </w:rPr>
      </w:pPr>
      <w:r w:rsidRPr="00312B84">
        <w:rPr>
          <w:rFonts w:eastAsia="Calibri Light"/>
          <w:color w:val="001F5F"/>
          <w:sz w:val="40"/>
          <w:szCs w:val="40"/>
        </w:rPr>
        <w:t>3.1 Broker view summary</w:t>
      </w:r>
    </w:p>
    <w:tbl>
      <w:tblPr>
        <w:tblW w:w="10244"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CellMar>
          <w:left w:w="10" w:type="dxa"/>
          <w:right w:w="10" w:type="dxa"/>
        </w:tblCellMar>
        <w:tblLook w:val="04A0" w:firstRow="1" w:lastRow="0" w:firstColumn="1" w:lastColumn="0" w:noHBand="0" w:noVBand="1"/>
      </w:tblPr>
      <w:tblGrid>
        <w:gridCol w:w="1025"/>
        <w:gridCol w:w="2305"/>
        <w:gridCol w:w="2305"/>
        <w:gridCol w:w="2305"/>
        <w:gridCol w:w="2304"/>
      </w:tblGrid>
      <w:tr w:rsidR="00813CB8" w:rsidRPr="00312B84" w14:paraId="6EB36A0B" w14:textId="77777777">
        <w:trPr>
          <w:cantSplit/>
          <w:tblHeader/>
        </w:trPr>
        <w:tc>
          <w:tcPr>
            <w:tcW w:w="1025" w:type="dxa"/>
            <w:shd w:val="clear" w:color="auto" w:fill="1F3B5B"/>
            <w:tcMar>
              <w:top w:w="90" w:type="dxa"/>
              <w:left w:w="120" w:type="dxa"/>
              <w:bottom w:w="90" w:type="dxa"/>
              <w:right w:w="120" w:type="dxa"/>
            </w:tcMar>
            <w:vAlign w:val="center"/>
          </w:tcPr>
          <w:p w14:paraId="6EB36A06" w14:textId="77777777" w:rsidR="00813CB8" w:rsidRPr="00312B84" w:rsidRDefault="00813CB8">
            <w:pPr>
              <w:spacing w:after="40"/>
              <w:rPr>
                <w:sz w:val="24"/>
                <w:szCs w:val="24"/>
              </w:rPr>
            </w:pPr>
          </w:p>
        </w:tc>
        <w:tc>
          <w:tcPr>
            <w:tcW w:w="2305" w:type="dxa"/>
            <w:shd w:val="clear" w:color="auto" w:fill="1F3B5B"/>
            <w:tcMar>
              <w:top w:w="90" w:type="dxa"/>
              <w:left w:w="120" w:type="dxa"/>
              <w:bottom w:w="90" w:type="dxa"/>
              <w:right w:w="120" w:type="dxa"/>
            </w:tcMar>
            <w:vAlign w:val="center"/>
          </w:tcPr>
          <w:p w14:paraId="6EB36A07" w14:textId="77777777" w:rsidR="00813CB8" w:rsidRPr="00312B84" w:rsidRDefault="002B4BED">
            <w:pPr>
              <w:spacing w:after="40"/>
              <w:jc w:val="center"/>
              <w:rPr>
                <w:sz w:val="24"/>
                <w:szCs w:val="24"/>
              </w:rPr>
            </w:pPr>
            <w:r w:rsidRPr="00312B84">
              <w:rPr>
                <w:rFonts w:ascii="Arial" w:eastAsia="Arial" w:hAnsi="Arial" w:cs="Arial"/>
                <w:b/>
                <w:bCs/>
                <w:color w:val="FFFFFF"/>
                <w:sz w:val="16"/>
                <w:szCs w:val="16"/>
              </w:rPr>
              <w:t>J.P. Morgan — credit team</w:t>
            </w:r>
          </w:p>
        </w:tc>
        <w:tc>
          <w:tcPr>
            <w:tcW w:w="2305" w:type="dxa"/>
            <w:shd w:val="clear" w:color="auto" w:fill="1F3B5B"/>
            <w:tcMar>
              <w:top w:w="90" w:type="dxa"/>
              <w:left w:w="120" w:type="dxa"/>
              <w:bottom w:w="90" w:type="dxa"/>
              <w:right w:w="120" w:type="dxa"/>
            </w:tcMar>
            <w:vAlign w:val="center"/>
          </w:tcPr>
          <w:p w14:paraId="6EB36A08" w14:textId="77777777" w:rsidR="00813CB8" w:rsidRPr="00312B84" w:rsidRDefault="002B4BED">
            <w:pPr>
              <w:spacing w:after="40"/>
              <w:jc w:val="center"/>
              <w:rPr>
                <w:sz w:val="24"/>
                <w:szCs w:val="24"/>
              </w:rPr>
            </w:pPr>
            <w:r w:rsidRPr="00312B84">
              <w:rPr>
                <w:rFonts w:ascii="Arial" w:eastAsia="Arial" w:hAnsi="Arial" w:cs="Arial"/>
                <w:b/>
                <w:bCs/>
                <w:color w:val="FFFFFF"/>
                <w:sz w:val="16"/>
                <w:szCs w:val="16"/>
              </w:rPr>
              <w:t>J.P. Morgan — equity team</w:t>
            </w:r>
          </w:p>
        </w:tc>
        <w:tc>
          <w:tcPr>
            <w:tcW w:w="2305" w:type="dxa"/>
            <w:shd w:val="clear" w:color="auto" w:fill="1F3B5B"/>
            <w:tcMar>
              <w:top w:w="90" w:type="dxa"/>
              <w:left w:w="120" w:type="dxa"/>
              <w:bottom w:w="90" w:type="dxa"/>
              <w:right w:w="120" w:type="dxa"/>
            </w:tcMar>
            <w:vAlign w:val="center"/>
          </w:tcPr>
          <w:p w14:paraId="6EB36A09" w14:textId="77777777" w:rsidR="00813CB8" w:rsidRPr="00312B84" w:rsidRDefault="002B4BED">
            <w:pPr>
              <w:spacing w:after="40"/>
              <w:jc w:val="center"/>
              <w:rPr>
                <w:sz w:val="24"/>
                <w:szCs w:val="24"/>
              </w:rPr>
            </w:pPr>
            <w:r w:rsidRPr="00312B84">
              <w:rPr>
                <w:rFonts w:ascii="Arial" w:eastAsia="Arial" w:hAnsi="Arial" w:cs="Arial"/>
                <w:b/>
                <w:bCs/>
                <w:color w:val="FFFFFF"/>
                <w:sz w:val="16"/>
                <w:szCs w:val="16"/>
              </w:rPr>
              <w:t>Morgan Stanley</w:t>
            </w:r>
          </w:p>
        </w:tc>
        <w:tc>
          <w:tcPr>
            <w:tcW w:w="2304" w:type="dxa"/>
            <w:shd w:val="clear" w:color="auto" w:fill="1F3B5B"/>
            <w:tcMar>
              <w:top w:w="90" w:type="dxa"/>
              <w:left w:w="120" w:type="dxa"/>
              <w:bottom w:w="90" w:type="dxa"/>
              <w:right w:w="120" w:type="dxa"/>
            </w:tcMar>
            <w:vAlign w:val="center"/>
          </w:tcPr>
          <w:p w14:paraId="6EB36A0A" w14:textId="77777777" w:rsidR="00813CB8" w:rsidRPr="00312B84" w:rsidRDefault="002B4BED">
            <w:pPr>
              <w:spacing w:after="40"/>
              <w:jc w:val="center"/>
              <w:rPr>
                <w:sz w:val="24"/>
                <w:szCs w:val="24"/>
              </w:rPr>
            </w:pPr>
            <w:r w:rsidRPr="00312B84">
              <w:rPr>
                <w:rFonts w:ascii="Arial" w:eastAsia="Arial" w:hAnsi="Arial" w:cs="Arial"/>
                <w:b/>
                <w:bCs/>
                <w:color w:val="FFFFFF"/>
                <w:sz w:val="16"/>
                <w:szCs w:val="16"/>
              </w:rPr>
              <w:t>Goldman Sachs</w:t>
            </w:r>
          </w:p>
        </w:tc>
      </w:tr>
      <w:tr w:rsidR="00813CB8" w:rsidRPr="00312B84" w14:paraId="6EB36A11" w14:textId="77777777">
        <w:trPr>
          <w:cantSplit/>
        </w:trPr>
        <w:tc>
          <w:tcPr>
            <w:tcW w:w="1025" w:type="dxa"/>
            <w:shd w:val="clear" w:color="auto" w:fill="EEF2F6"/>
            <w:tcMar>
              <w:top w:w="90" w:type="dxa"/>
              <w:left w:w="120" w:type="dxa"/>
              <w:bottom w:w="90" w:type="dxa"/>
              <w:right w:w="120" w:type="dxa"/>
            </w:tcMar>
            <w:vAlign w:val="center"/>
          </w:tcPr>
          <w:p w14:paraId="6EB36A0C" w14:textId="77777777" w:rsidR="00813CB8" w:rsidRPr="00312B84" w:rsidRDefault="002B4BED">
            <w:pPr>
              <w:spacing w:after="40"/>
              <w:rPr>
                <w:sz w:val="24"/>
                <w:szCs w:val="24"/>
              </w:rPr>
            </w:pPr>
            <w:r w:rsidRPr="00312B84">
              <w:rPr>
                <w:rFonts w:ascii="Arial" w:eastAsia="Arial" w:hAnsi="Arial" w:cs="Arial"/>
                <w:b/>
                <w:bCs/>
                <w:color w:val="22303C"/>
                <w:sz w:val="16"/>
                <w:szCs w:val="16"/>
              </w:rPr>
              <w:t>Coverage</w:t>
            </w:r>
          </w:p>
        </w:tc>
        <w:tc>
          <w:tcPr>
            <w:tcW w:w="2305" w:type="dxa"/>
            <w:tcMar>
              <w:top w:w="90" w:type="dxa"/>
              <w:left w:w="120" w:type="dxa"/>
              <w:bottom w:w="90" w:type="dxa"/>
              <w:right w:w="120" w:type="dxa"/>
            </w:tcMar>
            <w:vAlign w:val="center"/>
          </w:tcPr>
          <w:p w14:paraId="6EB36A0D" w14:textId="77777777" w:rsidR="00813CB8" w:rsidRPr="00312B84" w:rsidRDefault="002B4BED">
            <w:pPr>
              <w:spacing w:after="40"/>
              <w:rPr>
                <w:sz w:val="24"/>
                <w:szCs w:val="24"/>
              </w:rPr>
            </w:pPr>
            <w:r w:rsidRPr="00312B84">
              <w:rPr>
                <w:rFonts w:ascii="Arial" w:eastAsia="Arial" w:hAnsi="Arial" w:cs="Arial"/>
                <w:color w:val="22303C"/>
                <w:sz w:val="16"/>
                <w:szCs w:val="16"/>
              </w:rPr>
              <w:t>BDC debt / private credit</w:t>
            </w:r>
          </w:p>
        </w:tc>
        <w:tc>
          <w:tcPr>
            <w:tcW w:w="2305" w:type="dxa"/>
            <w:tcMar>
              <w:top w:w="90" w:type="dxa"/>
              <w:left w:w="120" w:type="dxa"/>
              <w:bottom w:w="90" w:type="dxa"/>
              <w:right w:w="120" w:type="dxa"/>
            </w:tcMar>
            <w:vAlign w:val="center"/>
          </w:tcPr>
          <w:p w14:paraId="6EB36A0E" w14:textId="77777777" w:rsidR="00813CB8" w:rsidRPr="00312B84" w:rsidRDefault="002B4BED">
            <w:pPr>
              <w:spacing w:after="40"/>
              <w:rPr>
                <w:sz w:val="24"/>
                <w:szCs w:val="24"/>
              </w:rPr>
            </w:pPr>
            <w:r w:rsidRPr="00312B84">
              <w:rPr>
                <w:rFonts w:ascii="Arial" w:eastAsia="Arial" w:hAnsi="Arial" w:cs="Arial"/>
                <w:color w:val="22303C"/>
                <w:sz w:val="16"/>
                <w:szCs w:val="16"/>
              </w:rPr>
              <w:t>Public BDC equities</w:t>
            </w:r>
          </w:p>
        </w:tc>
        <w:tc>
          <w:tcPr>
            <w:tcW w:w="2305" w:type="dxa"/>
            <w:tcMar>
              <w:top w:w="90" w:type="dxa"/>
              <w:left w:w="120" w:type="dxa"/>
              <w:bottom w:w="90" w:type="dxa"/>
              <w:right w:w="120" w:type="dxa"/>
            </w:tcMar>
            <w:vAlign w:val="center"/>
          </w:tcPr>
          <w:p w14:paraId="6EB36A0F" w14:textId="77777777" w:rsidR="00813CB8" w:rsidRPr="00312B84" w:rsidRDefault="002B4BED">
            <w:pPr>
              <w:spacing w:after="40"/>
              <w:rPr>
                <w:sz w:val="24"/>
                <w:szCs w:val="24"/>
              </w:rPr>
            </w:pPr>
            <w:r w:rsidRPr="00312B84">
              <w:rPr>
                <w:rFonts w:ascii="Arial" w:eastAsia="Arial" w:hAnsi="Arial" w:cs="Arial"/>
                <w:color w:val="22303C"/>
                <w:sz w:val="16"/>
                <w:szCs w:val="16"/>
              </w:rPr>
              <w:t>Private credit &amp; BDC — strategy</w:t>
            </w:r>
          </w:p>
        </w:tc>
        <w:tc>
          <w:tcPr>
            <w:tcW w:w="2304" w:type="dxa"/>
            <w:tcMar>
              <w:top w:w="90" w:type="dxa"/>
              <w:left w:w="120" w:type="dxa"/>
              <w:bottom w:w="90" w:type="dxa"/>
              <w:right w:w="120" w:type="dxa"/>
            </w:tcMar>
            <w:vAlign w:val="center"/>
          </w:tcPr>
          <w:p w14:paraId="6EB36A10" w14:textId="77777777" w:rsidR="00813CB8" w:rsidRPr="00312B84" w:rsidRDefault="002B4BED">
            <w:pPr>
              <w:spacing w:after="40"/>
              <w:rPr>
                <w:sz w:val="24"/>
                <w:szCs w:val="24"/>
              </w:rPr>
            </w:pPr>
            <w:r w:rsidRPr="00312B84">
              <w:rPr>
                <w:rFonts w:ascii="Arial" w:eastAsia="Arial" w:hAnsi="Arial" w:cs="Arial"/>
                <w:color w:val="22303C"/>
                <w:sz w:val="16"/>
                <w:szCs w:val="16"/>
              </w:rPr>
              <w:t>Leveraged credit, software focus</w:t>
            </w:r>
          </w:p>
        </w:tc>
      </w:tr>
      <w:tr w:rsidR="00813CB8" w:rsidRPr="00312B84" w14:paraId="6EB36A17" w14:textId="77777777">
        <w:trPr>
          <w:cantSplit/>
        </w:trPr>
        <w:tc>
          <w:tcPr>
            <w:tcW w:w="1025" w:type="dxa"/>
            <w:shd w:val="clear" w:color="auto" w:fill="EEF2F6"/>
            <w:tcMar>
              <w:top w:w="90" w:type="dxa"/>
              <w:left w:w="120" w:type="dxa"/>
              <w:bottom w:w="90" w:type="dxa"/>
              <w:right w:w="120" w:type="dxa"/>
            </w:tcMar>
            <w:vAlign w:val="center"/>
          </w:tcPr>
          <w:p w14:paraId="6EB36A12" w14:textId="77777777" w:rsidR="00813CB8" w:rsidRPr="00312B84" w:rsidRDefault="002B4BED">
            <w:pPr>
              <w:spacing w:after="40"/>
              <w:rPr>
                <w:sz w:val="24"/>
                <w:szCs w:val="24"/>
              </w:rPr>
            </w:pPr>
            <w:r w:rsidRPr="00312B84">
              <w:rPr>
                <w:rFonts w:ascii="Arial" w:eastAsia="Arial" w:hAnsi="Arial" w:cs="Arial"/>
                <w:b/>
                <w:bCs/>
                <w:color w:val="22303C"/>
                <w:sz w:val="16"/>
                <w:szCs w:val="16"/>
              </w:rPr>
              <w:t>View</w:t>
            </w:r>
          </w:p>
        </w:tc>
        <w:tc>
          <w:tcPr>
            <w:tcW w:w="2305" w:type="dxa"/>
            <w:tcMar>
              <w:top w:w="90" w:type="dxa"/>
              <w:left w:w="120" w:type="dxa"/>
              <w:bottom w:w="90" w:type="dxa"/>
              <w:right w:w="120" w:type="dxa"/>
            </w:tcMar>
            <w:vAlign w:val="center"/>
          </w:tcPr>
          <w:p w14:paraId="6EB36A13" w14:textId="77777777" w:rsidR="00813CB8" w:rsidRPr="00312B84" w:rsidRDefault="002B4BED">
            <w:pPr>
              <w:spacing w:after="40"/>
              <w:rPr>
                <w:sz w:val="24"/>
                <w:szCs w:val="24"/>
              </w:rPr>
            </w:pPr>
            <w:r w:rsidRPr="00312B84">
              <w:rPr>
                <w:rFonts w:ascii="Arial" w:eastAsia="Arial" w:hAnsi="Arial" w:cs="Arial"/>
                <w:color w:val="22303C"/>
                <w:sz w:val="16"/>
                <w:szCs w:val="16"/>
              </w:rPr>
              <w:t>Overweight — bad news priced in, spread compression the story</w:t>
            </w:r>
          </w:p>
        </w:tc>
        <w:tc>
          <w:tcPr>
            <w:tcW w:w="2305" w:type="dxa"/>
            <w:tcMar>
              <w:top w:w="90" w:type="dxa"/>
              <w:left w:w="120" w:type="dxa"/>
              <w:bottom w:w="90" w:type="dxa"/>
              <w:right w:w="120" w:type="dxa"/>
            </w:tcMar>
            <w:vAlign w:val="center"/>
          </w:tcPr>
          <w:p w14:paraId="6EB36A14" w14:textId="77777777" w:rsidR="00813CB8" w:rsidRPr="00312B84" w:rsidRDefault="002B4BED">
            <w:pPr>
              <w:spacing w:after="40"/>
              <w:rPr>
                <w:sz w:val="24"/>
                <w:szCs w:val="24"/>
              </w:rPr>
            </w:pPr>
            <w:r w:rsidRPr="00312B84">
              <w:rPr>
                <w:rFonts w:ascii="Arial" w:eastAsia="Arial" w:hAnsi="Arial" w:cs="Arial"/>
                <w:color w:val="22303C"/>
                <w:sz w:val="16"/>
                <w:szCs w:val="16"/>
              </w:rPr>
              <w:t>Remain cautious — credit headwinds offset rate tailwinds</w:t>
            </w:r>
          </w:p>
        </w:tc>
        <w:tc>
          <w:tcPr>
            <w:tcW w:w="2305" w:type="dxa"/>
            <w:tcMar>
              <w:top w:w="90" w:type="dxa"/>
              <w:left w:w="120" w:type="dxa"/>
              <w:bottom w:w="90" w:type="dxa"/>
              <w:right w:w="120" w:type="dxa"/>
            </w:tcMar>
            <w:vAlign w:val="center"/>
          </w:tcPr>
          <w:p w14:paraId="6EB36A15" w14:textId="77777777" w:rsidR="00813CB8" w:rsidRPr="00312B84" w:rsidRDefault="002B4BED">
            <w:pPr>
              <w:spacing w:after="40"/>
              <w:rPr>
                <w:sz w:val="24"/>
                <w:szCs w:val="24"/>
              </w:rPr>
            </w:pPr>
            <w:r w:rsidRPr="00312B84">
              <w:rPr>
                <w:rFonts w:ascii="Arial" w:eastAsia="Arial" w:hAnsi="Arial" w:cs="Arial"/>
                <w:color w:val="22303C"/>
                <w:sz w:val="16"/>
                <w:szCs w:val="16"/>
              </w:rPr>
              <w:t>Cautious — pressures contained, not resolved</w:t>
            </w:r>
          </w:p>
        </w:tc>
        <w:tc>
          <w:tcPr>
            <w:tcW w:w="2304" w:type="dxa"/>
            <w:tcMar>
              <w:top w:w="90" w:type="dxa"/>
              <w:left w:w="120" w:type="dxa"/>
              <w:bottom w:w="90" w:type="dxa"/>
              <w:right w:w="120" w:type="dxa"/>
            </w:tcMar>
            <w:vAlign w:val="center"/>
          </w:tcPr>
          <w:p w14:paraId="6EB36A16" w14:textId="77777777" w:rsidR="00813CB8" w:rsidRPr="00312B84" w:rsidRDefault="002B4BED">
            <w:pPr>
              <w:spacing w:after="40"/>
              <w:rPr>
                <w:sz w:val="24"/>
                <w:szCs w:val="24"/>
              </w:rPr>
            </w:pPr>
            <w:r w:rsidRPr="00312B84">
              <w:rPr>
                <w:rFonts w:ascii="Arial" w:eastAsia="Arial" w:hAnsi="Arial" w:cs="Arial"/>
                <w:color w:val="22303C"/>
                <w:sz w:val="16"/>
                <w:szCs w:val="16"/>
              </w:rPr>
              <w:t>Dispersion, not broad deterioration</w:t>
            </w:r>
          </w:p>
        </w:tc>
      </w:tr>
      <w:tr w:rsidR="00813CB8" w:rsidRPr="00312B84" w14:paraId="6EB36A29" w14:textId="77777777">
        <w:trPr>
          <w:cantSplit/>
        </w:trPr>
        <w:tc>
          <w:tcPr>
            <w:tcW w:w="1025" w:type="dxa"/>
            <w:shd w:val="clear" w:color="auto" w:fill="EEF2F6"/>
            <w:tcMar>
              <w:top w:w="90" w:type="dxa"/>
              <w:left w:w="120" w:type="dxa"/>
              <w:bottom w:w="90" w:type="dxa"/>
              <w:right w:w="120" w:type="dxa"/>
            </w:tcMar>
            <w:vAlign w:val="center"/>
          </w:tcPr>
          <w:p w14:paraId="6EB36A18" w14:textId="77777777" w:rsidR="00813CB8" w:rsidRPr="00312B84" w:rsidRDefault="002B4BED">
            <w:pPr>
              <w:spacing w:after="40"/>
              <w:rPr>
                <w:sz w:val="24"/>
                <w:szCs w:val="24"/>
              </w:rPr>
            </w:pPr>
            <w:r w:rsidRPr="00312B84">
              <w:rPr>
                <w:rFonts w:ascii="Arial" w:eastAsia="Arial" w:hAnsi="Arial" w:cs="Arial"/>
                <w:b/>
                <w:bCs/>
                <w:color w:val="22303C"/>
                <w:sz w:val="16"/>
                <w:szCs w:val="16"/>
              </w:rPr>
              <w:t>Key points</w:t>
            </w:r>
          </w:p>
        </w:tc>
        <w:tc>
          <w:tcPr>
            <w:tcW w:w="2305" w:type="dxa"/>
            <w:tcMar>
              <w:top w:w="90" w:type="dxa"/>
              <w:left w:w="120" w:type="dxa"/>
              <w:bottom w:w="90" w:type="dxa"/>
              <w:right w:w="120" w:type="dxa"/>
            </w:tcMar>
            <w:vAlign w:val="center"/>
          </w:tcPr>
          <w:p w14:paraId="6EB36A19" w14:textId="77777777" w:rsidR="00813CB8" w:rsidRPr="00312B84" w:rsidRDefault="002B4BED">
            <w:pPr>
              <w:spacing w:after="40"/>
              <w:rPr>
                <w:sz w:val="24"/>
                <w:szCs w:val="24"/>
              </w:rPr>
            </w:pPr>
            <w:r w:rsidRPr="00312B84">
              <w:rPr>
                <w:rFonts w:ascii="Arial" w:eastAsia="Arial" w:hAnsi="Arial" w:cs="Arial"/>
                <w:color w:val="22303C"/>
                <w:sz w:val="16"/>
                <w:szCs w:val="16"/>
              </w:rPr>
              <w:t>•  Spreads round-tripped: BDC index ~290bp in April to ~217bp by July, 8bp wide of the 2025 average; sees 20bp+ further compression</w:t>
            </w:r>
          </w:p>
          <w:p w14:paraId="6EB36A1A" w14:textId="77777777" w:rsidR="00813CB8" w:rsidRPr="00312B84" w:rsidRDefault="002B4BED">
            <w:pPr>
              <w:spacing w:after="40"/>
              <w:rPr>
                <w:sz w:val="24"/>
                <w:szCs w:val="24"/>
              </w:rPr>
            </w:pPr>
            <w:r w:rsidRPr="00312B84">
              <w:rPr>
                <w:rFonts w:ascii="Arial" w:eastAsia="Arial" w:hAnsi="Arial" w:cs="Arial"/>
                <w:color w:val="22303C"/>
                <w:sz w:val="16"/>
                <w:szCs w:val="16"/>
              </w:rPr>
              <w:t>•  29-BDC non-accruals 2.46% at cost, +40bp QoQ; NAVs −3.25% with 28 of 29 down — deterioration quantified and contained</w:t>
            </w:r>
          </w:p>
          <w:p w14:paraId="6EB36A1B" w14:textId="77777777" w:rsidR="00813CB8" w:rsidRPr="00312B84" w:rsidRDefault="002B4BED">
            <w:pPr>
              <w:spacing w:after="40"/>
              <w:rPr>
                <w:sz w:val="24"/>
                <w:szCs w:val="24"/>
              </w:rPr>
            </w:pPr>
            <w:r w:rsidRPr="00312B84">
              <w:rPr>
                <w:rFonts w:ascii="Arial" w:eastAsia="Arial" w:hAnsi="Arial" w:cs="Arial"/>
                <w:color w:val="22303C"/>
                <w:sz w:val="16"/>
                <w:szCs w:val="16"/>
              </w:rPr>
              <w:t>•  Bad PIK optically fell to 1.83% of debt books but rose ~50bp adjusting for Medallia and Affordable Care rolling into non-accrual; combined bad PIK + non-accruals 4.21%</w:t>
            </w:r>
          </w:p>
          <w:p w14:paraId="6EB36A1C" w14:textId="77777777" w:rsidR="00813CB8" w:rsidRPr="00312B84" w:rsidRDefault="002B4BED">
            <w:pPr>
              <w:spacing w:after="40"/>
              <w:rPr>
                <w:sz w:val="24"/>
                <w:szCs w:val="24"/>
              </w:rPr>
            </w:pPr>
            <w:r w:rsidRPr="00312B84">
              <w:rPr>
                <w:rFonts w:ascii="Arial" w:eastAsia="Arial" w:hAnsi="Arial" w:cs="Arial"/>
                <w:color w:val="22303C"/>
                <w:sz w:val="16"/>
                <w:szCs w:val="16"/>
              </w:rPr>
              <w:t>•  2Q redemption requests 12.2% of NAV, all met at 5% caps; net outflows $3.1bn vs $17bn bank lines — a liquidity event, not solvency</w:t>
            </w:r>
          </w:p>
        </w:tc>
        <w:tc>
          <w:tcPr>
            <w:tcW w:w="2305" w:type="dxa"/>
            <w:tcMar>
              <w:top w:w="90" w:type="dxa"/>
              <w:left w:w="120" w:type="dxa"/>
              <w:bottom w:w="90" w:type="dxa"/>
              <w:right w:w="120" w:type="dxa"/>
            </w:tcMar>
            <w:vAlign w:val="center"/>
          </w:tcPr>
          <w:p w14:paraId="6EB36A1D" w14:textId="77777777" w:rsidR="00813CB8" w:rsidRPr="00312B84" w:rsidRDefault="002B4BED">
            <w:pPr>
              <w:spacing w:after="40"/>
              <w:rPr>
                <w:sz w:val="24"/>
                <w:szCs w:val="24"/>
              </w:rPr>
            </w:pPr>
            <w:r w:rsidRPr="00312B84">
              <w:rPr>
                <w:rFonts w:ascii="Arial" w:eastAsia="Arial" w:hAnsi="Arial" w:cs="Arial"/>
                <w:color w:val="22303C"/>
                <w:sz w:val="16"/>
                <w:szCs w:val="16"/>
              </w:rPr>
              <w:t>•  Sector P/NAV down ~13.4% YTD near TTM lows; will re-rate only on sustained credit and earnings stability</w:t>
            </w:r>
          </w:p>
          <w:p w14:paraId="6EB36A1E" w14:textId="77777777" w:rsidR="00813CB8" w:rsidRPr="00312B84" w:rsidRDefault="002B4BED">
            <w:pPr>
              <w:spacing w:after="40"/>
              <w:rPr>
                <w:sz w:val="24"/>
                <w:szCs w:val="24"/>
              </w:rPr>
            </w:pPr>
            <w:r w:rsidRPr="00312B84">
              <w:rPr>
                <w:rFonts w:ascii="Arial" w:eastAsia="Arial" w:hAnsi="Arial" w:cs="Arial"/>
                <w:color w:val="22303C"/>
                <w:sz w:val="16"/>
                <w:szCs w:val="16"/>
              </w:rPr>
              <w:t>•  1Q NAV declines mostly spread-driven; expects a modestly positive NAV quarter in 2Q</w:t>
            </w:r>
          </w:p>
          <w:p w14:paraId="6EB36A1F" w14:textId="77777777" w:rsidR="00813CB8" w:rsidRPr="00312B84" w:rsidRDefault="002B4BED">
            <w:pPr>
              <w:spacing w:after="40"/>
              <w:rPr>
                <w:sz w:val="24"/>
                <w:szCs w:val="24"/>
              </w:rPr>
            </w:pPr>
            <w:r w:rsidRPr="00312B84">
              <w:rPr>
                <w:rFonts w:ascii="Arial" w:eastAsia="Arial" w:hAnsi="Arial" w:cs="Arial"/>
                <w:color w:val="22303C"/>
                <w:sz w:val="16"/>
                <w:szCs w:val="16"/>
              </w:rPr>
              <w:t>•  Deterioration concentrated and software-driven: FSK 8.1% cost non-accruals, BXSL to 4.7% on three software additions</w:t>
            </w:r>
          </w:p>
          <w:p w14:paraId="6EB36A20" w14:textId="77777777" w:rsidR="00813CB8" w:rsidRPr="00312B84" w:rsidRDefault="002B4BED">
            <w:pPr>
              <w:spacing w:after="40"/>
              <w:rPr>
                <w:sz w:val="24"/>
                <w:szCs w:val="24"/>
              </w:rPr>
            </w:pPr>
            <w:r w:rsidRPr="00312B84">
              <w:rPr>
                <w:rFonts w:ascii="Arial" w:eastAsia="Arial" w:hAnsi="Arial" w:cs="Arial"/>
                <w:color w:val="22303C"/>
                <w:sz w:val="16"/>
                <w:szCs w:val="16"/>
              </w:rPr>
              <w:t>•  Dividend resets nearly complete — 2026 coverage clusters at 91–101%; models a BXSL cut to $0.70; non-traded redemptions a net tailwind for publics</w:t>
            </w:r>
          </w:p>
        </w:tc>
        <w:tc>
          <w:tcPr>
            <w:tcW w:w="2305" w:type="dxa"/>
            <w:tcMar>
              <w:top w:w="90" w:type="dxa"/>
              <w:left w:w="120" w:type="dxa"/>
              <w:bottom w:w="90" w:type="dxa"/>
              <w:right w:w="120" w:type="dxa"/>
            </w:tcMar>
            <w:vAlign w:val="center"/>
          </w:tcPr>
          <w:p w14:paraId="6EB36A21" w14:textId="77777777" w:rsidR="00813CB8" w:rsidRPr="00312B84" w:rsidRDefault="002B4BED">
            <w:pPr>
              <w:spacing w:after="40"/>
              <w:rPr>
                <w:sz w:val="24"/>
                <w:szCs w:val="24"/>
              </w:rPr>
            </w:pPr>
            <w:r w:rsidRPr="00312B84">
              <w:rPr>
                <w:rFonts w:ascii="Arial" w:eastAsia="Arial" w:hAnsi="Arial" w:cs="Arial"/>
                <w:color w:val="22303C"/>
                <w:sz w:val="16"/>
                <w:szCs w:val="16"/>
              </w:rPr>
              <w:t>•  Formal default forecast: ~8% private credit and 5.5% BSL from 2H26 through 1H27, software-centered, skewed to distressed exchanges; recoveries 70–80%</w:t>
            </w:r>
          </w:p>
          <w:p w14:paraId="6EB36A22" w14:textId="77777777" w:rsidR="00813CB8" w:rsidRPr="00312B84" w:rsidRDefault="002B4BED">
            <w:pPr>
              <w:spacing w:after="40"/>
              <w:rPr>
                <w:sz w:val="24"/>
                <w:szCs w:val="24"/>
              </w:rPr>
            </w:pPr>
            <w:r w:rsidRPr="00312B84">
              <w:rPr>
                <w:rFonts w:ascii="Arial" w:eastAsia="Arial" w:hAnsi="Arial" w:cs="Arial"/>
                <w:color w:val="22303C"/>
                <w:sz w:val="16"/>
                <w:szCs w:val="16"/>
              </w:rPr>
              <w:t>•  Average BDC non-accruals 2.8% at cost — a five-year high; PIK 6.4% of income; ~20% of PIK loans marked below 90, a post-COVID high</w:t>
            </w:r>
          </w:p>
          <w:p w14:paraId="6EB36A23" w14:textId="77777777" w:rsidR="00813CB8" w:rsidRPr="00312B84" w:rsidRDefault="002B4BED">
            <w:pPr>
              <w:spacing w:after="40"/>
              <w:rPr>
                <w:sz w:val="24"/>
                <w:szCs w:val="24"/>
              </w:rPr>
            </w:pPr>
            <w:r w:rsidRPr="00312B84">
              <w:rPr>
                <w:rFonts w:ascii="Arial" w:eastAsia="Arial" w:hAnsi="Arial" w:cs="Arial"/>
                <w:color w:val="22303C"/>
                <w:sz w:val="16"/>
                <w:szCs w:val="16"/>
              </w:rPr>
              <w:t>•  Liquidity is not solvency: $14bn IG issuance YTD at ~240bp; 2Q redemption requests ~$12bn all capped; retail only ~20% of AUM</w:t>
            </w:r>
          </w:p>
          <w:p w14:paraId="6EB36A24" w14:textId="77777777" w:rsidR="00813CB8" w:rsidRPr="00312B84" w:rsidRDefault="002B4BED">
            <w:pPr>
              <w:spacing w:after="40"/>
              <w:rPr>
                <w:sz w:val="24"/>
                <w:szCs w:val="24"/>
              </w:rPr>
            </w:pPr>
            <w:r w:rsidRPr="00312B84">
              <w:rPr>
                <w:rFonts w:ascii="Arial" w:eastAsia="Arial" w:hAnsi="Arial" w:cs="Arial"/>
                <w:color w:val="22303C"/>
                <w:sz w:val="16"/>
                <w:szCs w:val="16"/>
              </w:rPr>
              <w:t>•  Software is the fault line but not yet in default data: software median leverage 8.3x vs 7.0x all-sector, cash coverage 1.4x lowest; ~25% of software loans mature by YE28</w:t>
            </w:r>
          </w:p>
        </w:tc>
        <w:tc>
          <w:tcPr>
            <w:tcW w:w="2304" w:type="dxa"/>
            <w:tcMar>
              <w:top w:w="90" w:type="dxa"/>
              <w:left w:w="120" w:type="dxa"/>
              <w:bottom w:w="90" w:type="dxa"/>
              <w:right w:w="120" w:type="dxa"/>
            </w:tcMar>
            <w:vAlign w:val="center"/>
          </w:tcPr>
          <w:p w14:paraId="6EB36A25" w14:textId="77777777" w:rsidR="00813CB8" w:rsidRPr="00312B84" w:rsidRDefault="002B4BED">
            <w:pPr>
              <w:spacing w:after="40"/>
              <w:rPr>
                <w:sz w:val="24"/>
                <w:szCs w:val="24"/>
              </w:rPr>
            </w:pPr>
            <w:r w:rsidRPr="00312B84">
              <w:rPr>
                <w:rFonts w:ascii="Arial" w:eastAsia="Arial" w:hAnsi="Arial" w:cs="Arial"/>
                <w:color w:val="22303C"/>
                <w:sz w:val="16"/>
                <w:szCs w:val="16"/>
              </w:rPr>
              <w:t>•  Software is the largest sector weight in both markets — 15%+ of the USD loan index, 23% of the direct-lending index — and USD software loans are −9pts YTD</w:t>
            </w:r>
          </w:p>
          <w:p w14:paraId="6EB36A26" w14:textId="77777777" w:rsidR="00813CB8" w:rsidRPr="00312B84" w:rsidRDefault="002B4BED">
            <w:pPr>
              <w:spacing w:after="40"/>
              <w:rPr>
                <w:sz w:val="24"/>
                <w:szCs w:val="24"/>
              </w:rPr>
            </w:pPr>
            <w:r w:rsidRPr="00312B84">
              <w:rPr>
                <w:rFonts w:ascii="Arial" w:eastAsia="Arial" w:hAnsi="Arial" w:cs="Arial"/>
                <w:color w:val="22303C"/>
                <w:sz w:val="16"/>
                <w:szCs w:val="16"/>
              </w:rPr>
              <w:t>•  The maturity wall is the catalyst: $98bn USD software loans due through 2028, 29% of software maturities; 50% rated B− or lower leaves no downgrade cushion</w:t>
            </w:r>
          </w:p>
          <w:p w14:paraId="6EB36A27" w14:textId="77777777" w:rsidR="00813CB8" w:rsidRPr="00312B84" w:rsidRDefault="002B4BED">
            <w:pPr>
              <w:spacing w:after="40"/>
              <w:rPr>
                <w:sz w:val="24"/>
                <w:szCs w:val="24"/>
              </w:rPr>
            </w:pPr>
            <w:r w:rsidRPr="00312B84">
              <w:rPr>
                <w:rFonts w:ascii="Arial" w:eastAsia="Arial" w:hAnsi="Arial" w:cs="Arial"/>
                <w:color w:val="22303C"/>
                <w:sz w:val="16"/>
                <w:szCs w:val="16"/>
              </w:rPr>
              <w:t>•  Recovery pessimism overdone: across 30 software loan defaults since 2016, recoveries track overall first-lien rates; risks are repeat defaulters and cov-lite LMEs</w:t>
            </w:r>
          </w:p>
          <w:p w14:paraId="6EB36A28" w14:textId="77777777" w:rsidR="00813CB8" w:rsidRPr="00312B84" w:rsidRDefault="002B4BED">
            <w:pPr>
              <w:spacing w:after="40"/>
              <w:rPr>
                <w:sz w:val="24"/>
                <w:szCs w:val="24"/>
              </w:rPr>
            </w:pPr>
            <w:r w:rsidRPr="00312B84">
              <w:rPr>
                <w:rFonts w:ascii="Arial" w:eastAsia="Arial" w:hAnsi="Arial" w:cs="Arial"/>
                <w:color w:val="22303C"/>
                <w:sz w:val="16"/>
                <w:szCs w:val="16"/>
              </w:rPr>
              <w:t>•  Private credit absorbs the fallout via ~$200bn of opportunistic dry powder; house default forecasts benign at 4.75% loans FY26</w:t>
            </w:r>
          </w:p>
        </w:tc>
      </w:tr>
      <w:tr w:rsidR="00813CB8" w:rsidRPr="00312B84" w14:paraId="6EB36A2F" w14:textId="77777777">
        <w:trPr>
          <w:cantSplit/>
        </w:trPr>
        <w:tc>
          <w:tcPr>
            <w:tcW w:w="1025" w:type="dxa"/>
            <w:shd w:val="clear" w:color="auto" w:fill="EEF2F6"/>
            <w:tcMar>
              <w:top w:w="90" w:type="dxa"/>
              <w:left w:w="120" w:type="dxa"/>
              <w:bottom w:w="90" w:type="dxa"/>
              <w:right w:w="120" w:type="dxa"/>
            </w:tcMar>
            <w:vAlign w:val="center"/>
          </w:tcPr>
          <w:p w14:paraId="6EB36A2A" w14:textId="77777777" w:rsidR="00813CB8" w:rsidRPr="00312B84" w:rsidRDefault="002B4BED">
            <w:pPr>
              <w:spacing w:after="40"/>
              <w:rPr>
                <w:sz w:val="24"/>
                <w:szCs w:val="24"/>
              </w:rPr>
            </w:pPr>
            <w:r w:rsidRPr="00312B84">
              <w:rPr>
                <w:rFonts w:ascii="Arial" w:eastAsia="Arial" w:hAnsi="Arial" w:cs="Arial"/>
                <w:b/>
                <w:bCs/>
                <w:color w:val="22303C"/>
                <w:sz w:val="16"/>
                <w:szCs w:val="16"/>
              </w:rPr>
              <w:t>QoQ Chg</w:t>
            </w:r>
          </w:p>
        </w:tc>
        <w:tc>
          <w:tcPr>
            <w:tcW w:w="2305" w:type="dxa"/>
            <w:tcMar>
              <w:top w:w="90" w:type="dxa"/>
              <w:left w:w="120" w:type="dxa"/>
              <w:bottom w:w="90" w:type="dxa"/>
              <w:right w:w="120" w:type="dxa"/>
            </w:tcMar>
            <w:vAlign w:val="center"/>
          </w:tcPr>
          <w:p w14:paraId="6EB36A2B" w14:textId="77777777" w:rsidR="00813CB8" w:rsidRPr="00312B84" w:rsidRDefault="002B4BED">
            <w:pPr>
              <w:spacing w:after="40"/>
              <w:rPr>
                <w:sz w:val="24"/>
                <w:szCs w:val="24"/>
              </w:rPr>
            </w:pPr>
            <w:r w:rsidRPr="00312B84">
              <w:rPr>
                <w:rFonts w:ascii="Arial" w:eastAsia="Arial" w:hAnsi="Arial" w:cs="Arial"/>
                <w:color w:val="22303C"/>
                <w:sz w:val="16"/>
                <w:szCs w:val="16"/>
              </w:rPr>
              <w:t>More constructive — held Overweight since April's upgrade path and now argues for further compression; prefers private non-traded structures</w:t>
            </w:r>
          </w:p>
        </w:tc>
        <w:tc>
          <w:tcPr>
            <w:tcW w:w="2305" w:type="dxa"/>
            <w:tcMar>
              <w:top w:w="90" w:type="dxa"/>
              <w:left w:w="120" w:type="dxa"/>
              <w:bottom w:w="90" w:type="dxa"/>
              <w:right w:w="120" w:type="dxa"/>
            </w:tcMar>
            <w:vAlign w:val="center"/>
          </w:tcPr>
          <w:p w14:paraId="6EB36A2C" w14:textId="77777777" w:rsidR="00813CB8" w:rsidRPr="00312B84" w:rsidRDefault="002B4BED">
            <w:pPr>
              <w:spacing w:after="40"/>
              <w:rPr>
                <w:sz w:val="24"/>
                <w:szCs w:val="24"/>
              </w:rPr>
            </w:pPr>
            <w:r w:rsidRPr="00312B84">
              <w:rPr>
                <w:rFonts w:ascii="Arial" w:eastAsia="Arial" w:hAnsi="Arial" w:cs="Arial"/>
                <w:color w:val="22303C"/>
                <w:sz w:val="16"/>
                <w:szCs w:val="16"/>
              </w:rPr>
              <w:t>Unchanged cautious — no rating changes at the 2Q preview; only Overweights ARCC and BXSL</w:t>
            </w:r>
          </w:p>
        </w:tc>
        <w:tc>
          <w:tcPr>
            <w:tcW w:w="2305" w:type="dxa"/>
            <w:tcMar>
              <w:top w:w="90" w:type="dxa"/>
              <w:left w:w="120" w:type="dxa"/>
              <w:bottom w:w="90" w:type="dxa"/>
              <w:right w:w="120" w:type="dxa"/>
            </w:tcMar>
            <w:vAlign w:val="center"/>
          </w:tcPr>
          <w:p w14:paraId="6EB36A2D" w14:textId="77777777" w:rsidR="00813CB8" w:rsidRPr="00312B84" w:rsidRDefault="002B4BED">
            <w:pPr>
              <w:spacing w:after="40"/>
              <w:rPr>
                <w:sz w:val="24"/>
                <w:szCs w:val="24"/>
              </w:rPr>
            </w:pPr>
            <w:r w:rsidRPr="00312B84">
              <w:rPr>
                <w:rFonts w:ascii="Arial" w:eastAsia="Arial" w:hAnsi="Arial" w:cs="Arial"/>
                <w:color w:val="22303C"/>
                <w:sz w:val="16"/>
                <w:szCs w:val="16"/>
              </w:rPr>
              <w:t>Framework unchanged from significant-not-systemic; marginally calmer on liquidity but a formal 8% default forecast is now in place</w:t>
            </w:r>
          </w:p>
        </w:tc>
        <w:tc>
          <w:tcPr>
            <w:tcW w:w="2304" w:type="dxa"/>
            <w:tcMar>
              <w:top w:w="90" w:type="dxa"/>
              <w:left w:w="120" w:type="dxa"/>
              <w:bottom w:w="90" w:type="dxa"/>
              <w:right w:w="120" w:type="dxa"/>
            </w:tcMar>
            <w:vAlign w:val="center"/>
          </w:tcPr>
          <w:p w14:paraId="6EB36A2E" w14:textId="77777777" w:rsidR="00813CB8" w:rsidRPr="00312B84" w:rsidRDefault="002B4BED">
            <w:pPr>
              <w:spacing w:after="40"/>
              <w:rPr>
                <w:sz w:val="24"/>
                <w:szCs w:val="24"/>
              </w:rPr>
            </w:pPr>
            <w:r w:rsidRPr="00312B84">
              <w:rPr>
                <w:rFonts w:ascii="Arial" w:eastAsia="Arial" w:hAnsi="Arial" w:cs="Arial"/>
                <w:color w:val="22303C"/>
                <w:sz w:val="16"/>
                <w:szCs w:val="16"/>
              </w:rPr>
              <w:t>Reaffirmed dispersion view with new recovery-study evidence; modestly constructive on private credit's absorber role</w:t>
            </w:r>
          </w:p>
        </w:tc>
      </w:tr>
    </w:tbl>
    <w:p w14:paraId="6EB36A30" w14:textId="77777777" w:rsidR="00813CB8" w:rsidRPr="00312B84" w:rsidRDefault="002B4BED">
      <w:pPr>
        <w:spacing w:after="200"/>
        <w:ind w:left="200"/>
        <w:rPr>
          <w:sz w:val="24"/>
          <w:szCs w:val="24"/>
        </w:rPr>
      </w:pPr>
      <w:r w:rsidRPr="00312B84">
        <w:rPr>
          <w:rFonts w:ascii="Arial" w:eastAsia="Arial" w:hAnsi="Arial" w:cs="Arial"/>
          <w:i/>
          <w:iCs/>
          <w:color w:val="5A6B7B"/>
          <w:sz w:val="13"/>
          <w:szCs w:val="13"/>
        </w:rPr>
        <w:t>Columns reflect the research houses actually received this quarter; the two J.P. Morgan teams are shown separately because their stances diverge. Source: 11 broker reports on file, April–July 2026</w:t>
      </w:r>
    </w:p>
    <w:p w14:paraId="6EB36A31" w14:textId="77777777" w:rsidR="00813CB8" w:rsidRPr="00312B84" w:rsidRDefault="002B4BED">
      <w:pPr>
        <w:pStyle w:val="2"/>
        <w:spacing w:before="560" w:after="140"/>
        <w:rPr>
          <w:sz w:val="22"/>
          <w:szCs w:val="22"/>
        </w:rPr>
      </w:pPr>
      <w:r w:rsidRPr="00312B84">
        <w:rPr>
          <w:rFonts w:eastAsia="Calibri Light"/>
          <w:color w:val="001F5F"/>
          <w:sz w:val="40"/>
          <w:szCs w:val="40"/>
        </w:rPr>
        <w:t>3.2 Consensus &amp; key debate</w:t>
      </w:r>
    </w:p>
    <w:p w14:paraId="6EB36A32" w14:textId="77777777" w:rsidR="00813CB8" w:rsidRPr="00312B84" w:rsidRDefault="002B4BED">
      <w:pPr>
        <w:spacing w:before="160" w:after="80"/>
        <w:ind w:left="200"/>
        <w:rPr>
          <w:sz w:val="24"/>
          <w:szCs w:val="24"/>
        </w:rPr>
      </w:pPr>
      <w:r w:rsidRPr="00312B84">
        <w:rPr>
          <w:rFonts w:eastAsia="Calibri Light"/>
          <w:b/>
          <w:bCs/>
          <w:color w:val="1C3660"/>
          <w:sz w:val="24"/>
          <w:szCs w:val="24"/>
        </w:rPr>
        <w:lastRenderedPageBreak/>
        <w:t>Market consensus</w:t>
      </w:r>
    </w:p>
    <w:p w14:paraId="6EB36A33"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Software and AI exposure is the sector's defining fault line, but the stress to date is idiosyncratic and concentrated — Medallia alone accounted for 26% of all 1Q26 non-accrual additions at cost — rather than systemic.</w:t>
      </w:r>
    </w:p>
    <w:p w14:paraId="6EB36A34"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Fundamentals are directionally worsening off a manageable base: non-accruals at multi-year highs on every universe measured, PIK elevated, and NAV declines driven predominantly by spread marks rather than realized losses.</w:t>
      </w:r>
    </w:p>
    <w:p w14:paraId="6EB36A35"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Redemption pressure at non-traded funds is a liquidity event, not a solvency event: 5% caps held everywhere in 2Q, net outflows were about 2.6% of NAV against far larger bank-line and liquid-asset buffers, and public-market funding reopened.</w:t>
      </w:r>
    </w:p>
    <w:p w14:paraId="6EB36A36"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The 2028 software maturity wall — not current payment default — is the operative catalyst all four houses watch; refinancing friction is where AI-era credit stress will first crystallize.</w:t>
      </w:r>
    </w:p>
    <w:p w14:paraId="6EB36A37"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Recovery pessimism on software credit is viewed as overdone: posited recoveries of 70–80% on smaller lender groups, and realized software recoveries since 2016 track overall first-lien rates.</w:t>
      </w:r>
    </w:p>
    <w:p w14:paraId="6EB36A38" w14:textId="77777777" w:rsidR="00813CB8" w:rsidRPr="00312B84" w:rsidRDefault="002B4BED">
      <w:pPr>
        <w:spacing w:before="160" w:after="80"/>
        <w:ind w:left="200"/>
        <w:rPr>
          <w:sz w:val="24"/>
          <w:szCs w:val="24"/>
        </w:rPr>
      </w:pPr>
      <w:r w:rsidRPr="00312B84">
        <w:rPr>
          <w:rFonts w:eastAsia="Calibri Light"/>
          <w:b/>
          <w:bCs/>
          <w:color w:val="1C3660"/>
          <w:sz w:val="24"/>
          <w:szCs w:val="24"/>
        </w:rPr>
        <w:t>Key focus / key debate</w:t>
      </w:r>
    </w:p>
    <w:p w14:paraId="6EB36A39" w14:textId="77777777" w:rsidR="00813CB8" w:rsidRPr="00312B84" w:rsidRDefault="002B4BED">
      <w:pPr>
        <w:spacing w:after="120"/>
        <w:ind w:left="200"/>
        <w:jc w:val="both"/>
        <w:rPr>
          <w:sz w:val="24"/>
          <w:szCs w:val="24"/>
        </w:rPr>
      </w:pPr>
      <w:r w:rsidRPr="00312B84">
        <w:rPr>
          <w:rFonts w:eastAsia="Calibri Light"/>
          <w:color w:val="000000"/>
          <w:sz w:val="24"/>
          <w:szCs w:val="24"/>
        </w:rPr>
        <w:t>The disagreements reduce to two: whether current pricing already discounts the coming credit cycle, and how severe that cycle gets.</w:t>
      </w:r>
    </w:p>
    <w:p w14:paraId="6EB36A3A" w14:textId="77777777" w:rsidR="00813CB8" w:rsidRPr="00312B84" w:rsidRDefault="002B4BED">
      <w:pPr>
        <w:spacing w:after="120"/>
        <w:ind w:left="200"/>
        <w:jc w:val="both"/>
        <w:rPr>
          <w:sz w:val="24"/>
          <w:szCs w:val="24"/>
        </w:rPr>
      </w:pPr>
      <w:r w:rsidRPr="00312B84">
        <w:rPr>
          <w:rFonts w:eastAsia="Calibri Light"/>
          <w:b/>
          <w:bCs/>
          <w:color w:val="000000"/>
          <w:sz w:val="24"/>
          <w:szCs w:val="24"/>
        </w:rPr>
        <w:t xml:space="preserve">Debt versus equity at the same house. </w:t>
      </w:r>
      <w:r w:rsidRPr="00312B84">
        <w:rPr>
          <w:rFonts w:eastAsia="Calibri Light"/>
          <w:color w:val="000000"/>
          <w:sz w:val="24"/>
          <w:szCs w:val="24"/>
        </w:rPr>
        <w:t>J.P. Morgan's credit team is overweight BDC debt — the index sits 8bp from its 2025 average, manager support has a demonstrated template, and 20bp+ of further compression is projected — while its own equity team remains cautious at 0.84x sector P/NAV, refusing to re-rate before sustained credit stability. The contested question is whether debt-market normalization or equity-market caution correctly discounts the deterioration both teams document.</w:t>
      </w:r>
    </w:p>
    <w:p w14:paraId="6EB36A3B" w14:textId="77777777" w:rsidR="00813CB8" w:rsidRPr="00312B84" w:rsidRDefault="002B4BED">
      <w:pPr>
        <w:spacing w:after="120"/>
        <w:ind w:left="200"/>
        <w:jc w:val="both"/>
        <w:rPr>
          <w:sz w:val="24"/>
          <w:szCs w:val="24"/>
        </w:rPr>
      </w:pPr>
      <w:r w:rsidRPr="00312B84">
        <w:rPr>
          <w:rFonts w:eastAsia="Calibri Light"/>
          <w:b/>
          <w:bCs/>
          <w:color w:val="000000"/>
          <w:sz w:val="24"/>
          <w:szCs w:val="24"/>
        </w:rPr>
        <w:t xml:space="preserve">Default severity: 8% or dispersion. </w:t>
      </w:r>
      <w:r w:rsidRPr="00312B84">
        <w:rPr>
          <w:rFonts w:eastAsia="Calibri Light"/>
          <w:color w:val="000000"/>
          <w:sz w:val="24"/>
          <w:szCs w:val="24"/>
        </w:rPr>
        <w:t>Morgan Stanley forecasts an above-average default wave of ~8% in private credit over 2H26–1H27, the highest since 2010; J.P. Morgan's credit team sees no near-term bankruptcy pipeline that would drive non-accruals materially higher, and Goldman's FY26 loan default forecast of 4.75% sits below the current 4.9% — framing the outcome as refinancing friction and dispersion. Whether the 2028 software wall converts into a default wave or is absorbed by amend-and-extend, sponsor equity and dry powder is the sector's defining bet.</w:t>
      </w:r>
    </w:p>
    <w:p w14:paraId="6EB36A3C" w14:textId="77777777" w:rsidR="00813CB8" w:rsidRPr="00312B84" w:rsidRDefault="002B4BED">
      <w:pPr>
        <w:pStyle w:val="2"/>
        <w:spacing w:before="560" w:after="140"/>
        <w:rPr>
          <w:sz w:val="22"/>
          <w:szCs w:val="22"/>
        </w:rPr>
      </w:pPr>
      <w:r w:rsidRPr="00312B84">
        <w:rPr>
          <w:rFonts w:eastAsia="Calibri Light"/>
          <w:color w:val="001F5F"/>
          <w:sz w:val="40"/>
          <w:szCs w:val="40"/>
        </w:rPr>
        <w:t>3.3 Fundamentals</w:t>
      </w:r>
    </w:p>
    <w:p w14:paraId="2622F03E" w14:textId="77777777" w:rsidR="00615CD8" w:rsidRPr="00312B84" w:rsidRDefault="00615CD8" w:rsidP="00615CD8">
      <w:pPr>
        <w:pStyle w:val="3"/>
        <w:spacing w:before="300" w:after="100"/>
        <w:ind w:left="110"/>
        <w:rPr>
          <w:sz w:val="21"/>
          <w:szCs w:val="21"/>
        </w:rPr>
      </w:pPr>
      <w:r w:rsidRPr="00312B84">
        <w:rPr>
          <w:rFonts w:eastAsia="Calibri Light"/>
          <w:color w:val="001F5F"/>
          <w:sz w:val="28"/>
          <w:szCs w:val="28"/>
        </w:rPr>
        <w:t>Leverage &amp; EBITDA coverage multiple</w:t>
      </w:r>
    </w:p>
    <w:p w14:paraId="25674B5F" w14:textId="77777777" w:rsidR="00615CD8" w:rsidRPr="00312B84" w:rsidRDefault="00615CD8" w:rsidP="00615CD8">
      <w:pPr>
        <w:spacing w:before="140" w:after="100"/>
        <w:jc w:val="center"/>
        <w:rPr>
          <w:sz w:val="24"/>
          <w:szCs w:val="24"/>
        </w:rPr>
      </w:pPr>
      <w:r w:rsidRPr="00312B84">
        <w:rPr>
          <w:noProof/>
          <w:sz w:val="24"/>
          <w:szCs w:val="24"/>
        </w:rPr>
        <w:lastRenderedPageBreak/>
        <w:drawing>
          <wp:inline distT="0" distB="0" distL="0" distR="0" wp14:anchorId="31EB591B" wp14:editId="2CC63E19">
            <wp:extent cx="6504940" cy="3503638"/>
            <wp:effectExtent l="0" t="0" r="0" b="0"/>
            <wp:docPr id="269436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59265" name=""/>
                    <pic:cNvPicPr>
                      <a:picLocks noChangeAspect="1" noChangeArrowheads="1"/>
                    </pic:cNvPicPr>
                  </pic:nvPicPr>
                  <pic:blipFill>
                    <a:blip r:embed="rId51"/>
                    <a:srcRect/>
                    <a:stretch>
                      <a:fillRect/>
                    </a:stretch>
                  </pic:blipFill>
                  <pic:spPr bwMode="auto">
                    <a:xfrm>
                      <a:off x="0" y="0"/>
                      <a:ext cx="6504940" cy="3503638"/>
                    </a:xfrm>
                    <a:prstGeom prst="rect">
                      <a:avLst/>
                    </a:prstGeom>
                  </pic:spPr>
                </pic:pic>
              </a:graphicData>
            </a:graphic>
          </wp:inline>
        </w:drawing>
      </w:r>
    </w:p>
    <w:p w14:paraId="06C354FB" w14:textId="77777777" w:rsidR="00615CD8" w:rsidRPr="00312B84" w:rsidRDefault="00615CD8" w:rsidP="00615CD8">
      <w:pPr>
        <w:spacing w:after="180"/>
        <w:ind w:left="200"/>
        <w:jc w:val="both"/>
        <w:rPr>
          <w:sz w:val="24"/>
          <w:szCs w:val="24"/>
        </w:rPr>
      </w:pPr>
      <w:r w:rsidRPr="00312B84">
        <w:rPr>
          <w:rFonts w:eastAsia="Calibri Light"/>
          <w:color w:val="000000"/>
          <w:sz w:val="24"/>
          <w:szCs w:val="24"/>
        </w:rPr>
        <w:t>Private middle-market leverage has been de-levering for three years while its public comparable re-levered. Fitch's monitored private portfolio sits at 5.9x, down a tenth QoQ and roughly a full turn below the near-6.9x peak of late 2022, while the Lincoln valuation sample has been remarkably stable at 5.2x inside a 4.8–5.2x band across the whole period. The line that has actually moved against the trend is the gray one: single-B public loan borrowers have re-levered from a 5.1x trough to 5.5x, so the private-versus-public gap has narrowed from about 1.7 turns at the 2022 peak to 0.4 turns on the Fitch measure — and on the Lincoln sample private borrowers now carry 0.3 turns less leverage than comparable public issuers. The read for OTF is that the aggregate borrower entering this credit cycle is less levered than the one that entered 2023, so the sector's rising non-accruals are not being driven by balance-sheet gearing at the median. Where gearing does bite is sectoral: software borrowers run a median 8.3x against the 7.0x all-sector figure on the S&amp;P credit-estimate universe, i.e. more than two turns above the Fitch median shown here, concentrated precisely in the end-market that dominates OTF's book.</w:t>
      </w:r>
    </w:p>
    <w:p w14:paraId="0E9FD004" w14:textId="77777777" w:rsidR="00615CD8" w:rsidRPr="00312B84" w:rsidRDefault="00615CD8" w:rsidP="00615CD8">
      <w:pPr>
        <w:spacing w:before="140" w:after="100"/>
        <w:jc w:val="center"/>
        <w:rPr>
          <w:sz w:val="24"/>
          <w:szCs w:val="24"/>
        </w:rPr>
      </w:pPr>
      <w:r w:rsidRPr="00312B84">
        <w:rPr>
          <w:noProof/>
          <w:sz w:val="24"/>
          <w:szCs w:val="24"/>
        </w:rPr>
        <w:drawing>
          <wp:inline distT="0" distB="0" distL="0" distR="0" wp14:anchorId="4C48FE07" wp14:editId="27462E2F">
            <wp:extent cx="6504940" cy="3516356"/>
            <wp:effectExtent l="0" t="0" r="0" b="0"/>
            <wp:docPr id="277860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21323" name=""/>
                    <pic:cNvPicPr>
                      <a:picLocks noChangeAspect="1" noChangeArrowheads="1"/>
                    </pic:cNvPicPr>
                  </pic:nvPicPr>
                  <pic:blipFill>
                    <a:blip r:embed="rId52"/>
                    <a:srcRect/>
                    <a:stretch>
                      <a:fillRect/>
                    </a:stretch>
                  </pic:blipFill>
                  <pic:spPr bwMode="auto">
                    <a:xfrm>
                      <a:off x="0" y="0"/>
                      <a:ext cx="6504940" cy="3516356"/>
                    </a:xfrm>
                    <a:prstGeom prst="rect">
                      <a:avLst/>
                    </a:prstGeom>
                  </pic:spPr>
                </pic:pic>
              </a:graphicData>
            </a:graphic>
          </wp:inline>
        </w:drawing>
      </w:r>
    </w:p>
    <w:p w14:paraId="23FBF116" w14:textId="77777777" w:rsidR="00615CD8" w:rsidRPr="00312B84" w:rsidRDefault="00615CD8" w:rsidP="00615CD8">
      <w:pPr>
        <w:spacing w:after="180"/>
        <w:ind w:left="200"/>
        <w:jc w:val="both"/>
        <w:rPr>
          <w:sz w:val="24"/>
          <w:szCs w:val="24"/>
        </w:rPr>
      </w:pPr>
      <w:r w:rsidRPr="00312B84">
        <w:rPr>
          <w:rFonts w:eastAsia="Calibri Light"/>
          <w:color w:val="000000"/>
          <w:sz w:val="24"/>
          <w:szCs w:val="24"/>
        </w:rPr>
        <w:lastRenderedPageBreak/>
        <w:t>Coverage tells the opposite story to leverage — it collapsed through the hiking cycle and has only partly healed. Fitch's private median troughed at 1.56x in early 2024 and has recovered to 2.0x; Lincoln troughed at 1.36x and is back to 1.9x. Both remain roughly 0.8 turns below their 2021–22 levels and still sit under the 2.5x public single-B benchmark, so the typical direct-lending borrower continues to profile like a low-single-B credit on cash-flow cushion even after four quarters of improvement. The mechanism matters for forecasting: this recovery is base-rate driven rather than earnings driven — falling SOFR cut cash interest expense on floating-rate loans, the same move that compressed OTF's asset yields from 10.4% to 9.6% over five quarters. That symmetry is the key point for the portfolio: the rate path that repairs borrower coverage is the same one that erodes OTF's investment income, so improving borrower fundamentals and falling NII are two views of one variable rather than offsetting signals. It also means the cushion is fragile — a stall in cuts halts the coverage repair with the median still under 2.0x.</w:t>
      </w:r>
    </w:p>
    <w:p w14:paraId="135CA559" w14:textId="77777777" w:rsidR="00615CD8" w:rsidRPr="00312B84" w:rsidRDefault="00615CD8" w:rsidP="00615CD8">
      <w:pPr>
        <w:pStyle w:val="3"/>
        <w:spacing w:before="300" w:after="100"/>
        <w:ind w:left="110"/>
        <w:rPr>
          <w:sz w:val="21"/>
          <w:szCs w:val="21"/>
        </w:rPr>
      </w:pPr>
      <w:r w:rsidRPr="00312B84">
        <w:rPr>
          <w:rFonts w:eastAsia="Calibri Light"/>
          <w:color w:val="001F5F"/>
          <w:sz w:val="28"/>
          <w:szCs w:val="28"/>
        </w:rPr>
        <w:t>Non-accruals &amp; PIK level</w:t>
      </w:r>
    </w:p>
    <w:p w14:paraId="643FFE54" w14:textId="77777777" w:rsidR="00615CD8" w:rsidRPr="00312B84" w:rsidRDefault="00615CD8" w:rsidP="00615CD8">
      <w:pPr>
        <w:spacing w:before="140" w:after="100"/>
        <w:jc w:val="center"/>
        <w:rPr>
          <w:sz w:val="24"/>
          <w:szCs w:val="24"/>
        </w:rPr>
      </w:pPr>
      <w:r w:rsidRPr="00312B84">
        <w:rPr>
          <w:noProof/>
          <w:sz w:val="24"/>
          <w:szCs w:val="24"/>
        </w:rPr>
        <w:drawing>
          <wp:inline distT="0" distB="0" distL="0" distR="0" wp14:anchorId="4A667A2B" wp14:editId="615D24DC">
            <wp:extent cx="6244826" cy="3155987"/>
            <wp:effectExtent l="0" t="0" r="0" b="0"/>
            <wp:docPr id="18503746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01736" name=""/>
                    <pic:cNvPicPr>
                      <a:picLocks noChangeAspect="1" noChangeArrowheads="1"/>
                    </pic:cNvPicPr>
                  </pic:nvPicPr>
                  <pic:blipFill>
                    <a:blip r:embed="rId53"/>
                    <a:srcRect/>
                    <a:stretch>
                      <a:fillRect/>
                    </a:stretch>
                  </pic:blipFill>
                  <pic:spPr bwMode="auto">
                    <a:xfrm>
                      <a:off x="0" y="0"/>
                      <a:ext cx="6272917" cy="3170184"/>
                    </a:xfrm>
                    <a:prstGeom prst="rect">
                      <a:avLst/>
                    </a:prstGeom>
                  </pic:spPr>
                </pic:pic>
              </a:graphicData>
            </a:graphic>
          </wp:inline>
        </w:drawing>
      </w:r>
    </w:p>
    <w:p w14:paraId="060CC2CC" w14:textId="77777777" w:rsidR="00615CD8" w:rsidRPr="00312B84" w:rsidRDefault="00615CD8" w:rsidP="00615CD8">
      <w:pPr>
        <w:spacing w:after="180"/>
        <w:ind w:left="200"/>
        <w:jc w:val="both"/>
        <w:rPr>
          <w:sz w:val="24"/>
          <w:szCs w:val="24"/>
        </w:rPr>
      </w:pPr>
      <w:r w:rsidRPr="00312B84">
        <w:rPr>
          <w:rFonts w:eastAsia="Calibri Light"/>
          <w:color w:val="000000"/>
          <w:sz w:val="24"/>
          <w:szCs w:val="24"/>
        </w:rPr>
        <w:t>The sector average reached 2.8% of cost in March 2026, the highest in five years, and the nine-year series puts that number in useful perspective: it is well below the roughly 4.5% COVID peak and broadly in line with the 2.0–2.9% range that prevailed in 2017–18, so the level is a return to pre-2020 norms rather than crisis territory. What is genuinely new is the shape of the distribution. The right-hand series — the share of BDCs carrying more than 8% non-accruals — jumped to 11% from about 8% in a single quarter, its sharpest move since the COVID spike, while the average rose only 0.35pp. Deterioration is therefore concentrating in a widening tail rather than shifting the whole cohort, which is consistent with the named-credit pattern this quarter: Medallia alone accounted for roughly a quarter of all sector non-accrual additions at cost. For OTF the relevant question is which side of that split it sits on. At 0.6% of cost and 0.1% of fair value it remains an order of magnitude below the average, so the sector chart is currently a statement about OTF's risk premium rather than its realized credit.</w:t>
      </w:r>
    </w:p>
    <w:p w14:paraId="3299BD43" w14:textId="77777777" w:rsidR="00615CD8" w:rsidRPr="00312B84" w:rsidRDefault="00615CD8" w:rsidP="00615CD8">
      <w:pPr>
        <w:spacing w:before="140" w:after="100"/>
        <w:jc w:val="center"/>
        <w:rPr>
          <w:sz w:val="24"/>
          <w:szCs w:val="24"/>
        </w:rPr>
      </w:pPr>
      <w:r w:rsidRPr="00312B84">
        <w:rPr>
          <w:noProof/>
          <w:sz w:val="24"/>
          <w:szCs w:val="24"/>
        </w:rPr>
        <w:lastRenderedPageBreak/>
        <w:drawing>
          <wp:inline distT="0" distB="0" distL="0" distR="0" wp14:anchorId="69262E61" wp14:editId="78CE298F">
            <wp:extent cx="6504940" cy="3274725"/>
            <wp:effectExtent l="0" t="0" r="0" b="0"/>
            <wp:docPr id="111176297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54719" name=""/>
                    <pic:cNvPicPr>
                      <a:picLocks noChangeAspect="1" noChangeArrowheads="1"/>
                    </pic:cNvPicPr>
                  </pic:nvPicPr>
                  <pic:blipFill>
                    <a:blip r:embed="rId54"/>
                    <a:srcRect/>
                    <a:stretch>
                      <a:fillRect/>
                    </a:stretch>
                  </pic:blipFill>
                  <pic:spPr bwMode="auto">
                    <a:xfrm>
                      <a:off x="0" y="0"/>
                      <a:ext cx="6504940" cy="3274725"/>
                    </a:xfrm>
                    <a:prstGeom prst="rect">
                      <a:avLst/>
                    </a:prstGeom>
                  </pic:spPr>
                </pic:pic>
              </a:graphicData>
            </a:graphic>
          </wp:inline>
        </w:drawing>
      </w:r>
    </w:p>
    <w:p w14:paraId="4EFE932C" w14:textId="77777777" w:rsidR="00615CD8" w:rsidRPr="00312B84" w:rsidRDefault="00615CD8" w:rsidP="00615CD8">
      <w:pPr>
        <w:spacing w:after="180"/>
        <w:ind w:left="200"/>
        <w:jc w:val="both"/>
        <w:rPr>
          <w:sz w:val="24"/>
          <w:szCs w:val="24"/>
        </w:rPr>
      </w:pPr>
      <w:r w:rsidRPr="00312B84">
        <w:rPr>
          <w:rFonts w:eastAsia="Calibri Light"/>
          <w:color w:val="000000"/>
          <w:sz w:val="24"/>
          <w:szCs w:val="24"/>
        </w:rPr>
        <w:t>On the investment-income basis PIK looks static: 6.4% in Q1'26, up 0.4pp QoQ, and range-bound between 5.8% and 6.8% for thirteen consecutive quarters. The average is not where the information is. The right-hand line — the share of BDCs with PIK above 12% of investment income — rose to 8% from 6.5%, its highest since the 10% peak of Q4'24, so once again the tail is moving while the median holds. That distinction is what makes PIK a dispersion indicator rather than a level indicator: a sector average near 6% coexists with a cohort of vehicles running double that, and roughly a fifth of all PIK loans are now marked below 90, a post-COVID high. OTF sits structurally in the upper half of this distribution — 12.5% of investment income, about twice the average — but for two reasons that are worth separating from the tail names: roughly 98% of it was contracted at original underwriting rather than granted through amendment, and its bad-PIK reading of 0.98% is about half the sector's 1.83%. The direction is also favorable: OTF has fallen for two consecutive quarters while the high-PIK cohort has grown.</w:t>
      </w:r>
    </w:p>
    <w:p w14:paraId="1760E50A" w14:textId="77777777" w:rsidR="00615CD8" w:rsidRPr="00312B84" w:rsidRDefault="00615CD8" w:rsidP="00615CD8">
      <w:pPr>
        <w:spacing w:before="140" w:after="100"/>
        <w:jc w:val="center"/>
        <w:rPr>
          <w:sz w:val="24"/>
          <w:szCs w:val="24"/>
        </w:rPr>
      </w:pPr>
      <w:r w:rsidRPr="00312B84">
        <w:rPr>
          <w:noProof/>
          <w:sz w:val="24"/>
          <w:szCs w:val="24"/>
        </w:rPr>
        <w:drawing>
          <wp:inline distT="0" distB="0" distL="0" distR="0" wp14:anchorId="181D497D" wp14:editId="369901AC">
            <wp:extent cx="6504940" cy="3433693"/>
            <wp:effectExtent l="0" t="0" r="0" b="0"/>
            <wp:docPr id="71686198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16729" name=""/>
                    <pic:cNvPicPr>
                      <a:picLocks noChangeAspect="1" noChangeArrowheads="1"/>
                    </pic:cNvPicPr>
                  </pic:nvPicPr>
                  <pic:blipFill>
                    <a:blip r:embed="rId55"/>
                    <a:srcRect/>
                    <a:stretch>
                      <a:fillRect/>
                    </a:stretch>
                  </pic:blipFill>
                  <pic:spPr bwMode="auto">
                    <a:xfrm>
                      <a:off x="0" y="0"/>
                      <a:ext cx="6504940" cy="3433693"/>
                    </a:xfrm>
                    <a:prstGeom prst="rect">
                      <a:avLst/>
                    </a:prstGeom>
                  </pic:spPr>
                </pic:pic>
              </a:graphicData>
            </a:graphic>
          </wp:inline>
        </w:drawing>
      </w:r>
    </w:p>
    <w:p w14:paraId="7B3F733E" w14:textId="77777777" w:rsidR="00615CD8" w:rsidRPr="00312B84" w:rsidRDefault="00615CD8" w:rsidP="00615CD8">
      <w:pPr>
        <w:spacing w:after="180"/>
        <w:ind w:left="200"/>
        <w:jc w:val="both"/>
        <w:rPr>
          <w:sz w:val="24"/>
          <w:szCs w:val="24"/>
        </w:rPr>
      </w:pPr>
      <w:r w:rsidRPr="00312B84">
        <w:rPr>
          <w:rFonts w:eastAsia="Calibri Light"/>
          <w:color w:val="000000"/>
          <w:sz w:val="24"/>
          <w:szCs w:val="24"/>
        </w:rPr>
        <w:t xml:space="preserve">Measured against net investment income the same PIK dollars look far heavier — 15.2% in Q1'26 versus 6.4% on the gross basis — because NII is struck after interest and management expenses, so the ratio is </w:t>
      </w:r>
      <w:r w:rsidRPr="00312B84">
        <w:rPr>
          <w:rFonts w:eastAsia="Calibri Light"/>
          <w:color w:val="000000"/>
          <w:sz w:val="24"/>
          <w:szCs w:val="24"/>
        </w:rPr>
        <w:lastRenderedPageBreak/>
        <w:t>geared. This is the more decision-relevant cut for a dividend-paying vehicle: it says roughly one dollar in seven of the sector's distributable earnings is accrued rather than collected. The trend here is clearly upward where the gross measure was flat, rising about 2.8pp from 12.4% at Q1'23 to 15.2% now, with the Q1'26 print the second-highest of the series and down only 0.4pp from the Q4'25 high. The divergence between this chart and the one above is the actual finding: PIK's share of gross income has not grown, but its share of net income has, because rising funding costs shrank the denominator. That is a quiet erosion of dividend quality across the sector, and it is the same arithmetic that leaves OTF's $0.35 base dividend covered at 86% on GAAP NII despite reported PIK falling for two quarters.</w:t>
      </w:r>
    </w:p>
    <w:p w14:paraId="4C34FDB8" w14:textId="77777777" w:rsidR="00615CD8" w:rsidRPr="00312B84" w:rsidRDefault="00615CD8" w:rsidP="00615CD8">
      <w:pPr>
        <w:spacing w:before="140" w:after="100"/>
        <w:jc w:val="center"/>
        <w:rPr>
          <w:sz w:val="24"/>
          <w:szCs w:val="24"/>
        </w:rPr>
      </w:pPr>
      <w:r w:rsidRPr="00312B84">
        <w:rPr>
          <w:noProof/>
          <w:sz w:val="24"/>
          <w:szCs w:val="24"/>
        </w:rPr>
        <w:drawing>
          <wp:inline distT="0" distB="0" distL="0" distR="0" wp14:anchorId="26E20558" wp14:editId="47F3BCFC">
            <wp:extent cx="6504940" cy="3490921"/>
            <wp:effectExtent l="0" t="0" r="0" b="0"/>
            <wp:docPr id="83039965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57151" name=""/>
                    <pic:cNvPicPr>
                      <a:picLocks noChangeAspect="1" noChangeArrowheads="1"/>
                    </pic:cNvPicPr>
                  </pic:nvPicPr>
                  <pic:blipFill>
                    <a:blip r:embed="rId56"/>
                    <a:srcRect/>
                    <a:stretch>
                      <a:fillRect/>
                    </a:stretch>
                  </pic:blipFill>
                  <pic:spPr bwMode="auto">
                    <a:xfrm>
                      <a:off x="0" y="0"/>
                      <a:ext cx="6504940" cy="3490921"/>
                    </a:xfrm>
                    <a:prstGeom prst="rect">
                      <a:avLst/>
                    </a:prstGeom>
                  </pic:spPr>
                </pic:pic>
              </a:graphicData>
            </a:graphic>
          </wp:inline>
        </w:drawing>
      </w:r>
    </w:p>
    <w:p w14:paraId="27F660C6" w14:textId="77777777" w:rsidR="00615CD8" w:rsidRPr="00312B84" w:rsidRDefault="00615CD8" w:rsidP="00615CD8">
      <w:pPr>
        <w:spacing w:after="180"/>
        <w:ind w:left="200"/>
        <w:jc w:val="both"/>
        <w:rPr>
          <w:sz w:val="24"/>
          <w:szCs w:val="24"/>
        </w:rPr>
      </w:pPr>
      <w:r w:rsidRPr="00312B84">
        <w:rPr>
          <w:rFonts w:eastAsia="Calibri Light"/>
          <w:color w:val="000000"/>
          <w:sz w:val="24"/>
          <w:szCs w:val="24"/>
        </w:rPr>
        <w:t>The sector decomposition explains where the aggregate deterioration came from and why it matters more for OTF than OTF's own 0.6% print suggests. Information technology's non-accrual rate tripled against its three-year average, to 2.1% from 0.7%, and healthcare's doubled to 3.5% — now the highest of any sector — while financial services and energy actually improved, to 0.5% and 0.1%. IT also posted the worst average quarterly write-down at −2.7% and the highest share of sub-90 PIK loans at 8.4% against a 3.7% three-year average, so marks, PIK stress and non-accruals all point at the same two sectors rather than disagreeing. Those two sectors are OTF's book: systems and application software are 32.8% of fair value, health care technology a further 12.4%, and health care providers 2.9% — roughly 48% of the portfolio sits in the two end-markets driving the sector's credit migration. This is the transmission channel to watch, and it operates through marks and spreads well before it reaches non-accruals: sector-wide software and healthcare stress re-prices OTF's Level-3 valuations and its equity discount whether or not its own borrowers miss a payment.</w:t>
      </w:r>
    </w:p>
    <w:p w14:paraId="6EB36A45" w14:textId="77777777" w:rsidR="00813CB8" w:rsidRPr="00312B84" w:rsidRDefault="002B4BED">
      <w:pPr>
        <w:pStyle w:val="2"/>
        <w:spacing w:before="560" w:after="140"/>
        <w:rPr>
          <w:sz w:val="22"/>
          <w:szCs w:val="22"/>
        </w:rPr>
      </w:pPr>
      <w:r w:rsidRPr="00312B84">
        <w:rPr>
          <w:rFonts w:eastAsia="Calibri Light"/>
          <w:color w:val="001F5F"/>
          <w:sz w:val="40"/>
          <w:szCs w:val="40"/>
        </w:rPr>
        <w:t>3.4 Things we should know</w:t>
      </w:r>
    </w:p>
    <w:p w14:paraId="6EB36A46" w14:textId="77777777" w:rsidR="00813CB8" w:rsidRPr="00312B84" w:rsidRDefault="002B4BED">
      <w:pPr>
        <w:pStyle w:val="3"/>
        <w:spacing w:before="200" w:after="100"/>
        <w:ind w:left="110"/>
        <w:rPr>
          <w:sz w:val="21"/>
          <w:szCs w:val="21"/>
        </w:rPr>
      </w:pPr>
      <w:r w:rsidRPr="00312B84">
        <w:rPr>
          <w:rFonts w:eastAsia="Calibri Light"/>
          <w:color w:val="001F5F"/>
          <w:sz w:val="28"/>
          <w:szCs w:val="28"/>
        </w:rPr>
        <w:t>3.4.1 Software exposure in leveraged credit</w:t>
      </w:r>
    </w:p>
    <w:p w14:paraId="6EB36A47" w14:textId="4BD14DED" w:rsidR="00813CB8" w:rsidRPr="00312B84" w:rsidRDefault="002B4BED">
      <w:pPr>
        <w:spacing w:after="120"/>
        <w:ind w:left="200"/>
        <w:jc w:val="both"/>
        <w:rPr>
          <w:sz w:val="24"/>
          <w:szCs w:val="24"/>
        </w:rPr>
      </w:pPr>
      <w:r w:rsidRPr="00312B84">
        <w:rPr>
          <w:rFonts w:eastAsia="Calibri Light"/>
          <w:color w:val="000000"/>
          <w:sz w:val="24"/>
          <w:szCs w:val="24"/>
        </w:rPr>
        <w:t xml:space="preserve">Software is now the single largest sector in both leveraged credit markets — more than 15% of the USD loan index and 23% of the direct-lending benchmark, over 70% of it sponsor-backed — and it is repricing as one block: USD software loan prices are down 9 points year-to-date with over 60% of BDC software loans marked down more than a point since 3Q25. Goldman's transmission paths run from refinancing concessions on the $98bn of USD software maturities through 2028, to downgrades against a cohort </w:t>
      </w:r>
      <w:r w:rsidRPr="00312B84">
        <w:rPr>
          <w:rFonts w:eastAsia="Calibri Light"/>
          <w:color w:val="000000"/>
          <w:sz w:val="24"/>
          <w:szCs w:val="24"/>
        </w:rPr>
        <w:lastRenderedPageBreak/>
        <w:t>already 50% rated B− or lower, to defaults whose recoveries have historically tracked overall first-lien rates rather than collapsing. Mapped onto OTF, the read-through is more than one-for-one: at 32.8% GICS software and roughly 50% technology-related fair value against a 22% peer average, sector-wide software spread widening moves OTF's marks — and its equity discount — before any of its own borrowers miss a payment.</w:t>
      </w:r>
      <w:r w:rsidR="004F0521" w:rsidRPr="00312B84">
        <w:rPr>
          <w:rFonts w:hint="eastAsia"/>
          <w:color w:val="000000"/>
          <w:sz w:val="24"/>
          <w:szCs w:val="24"/>
        </w:rPr>
        <w:t xml:space="preserve"> </w:t>
      </w:r>
    </w:p>
    <w:p w14:paraId="6EB36A48" w14:textId="77777777" w:rsidR="00813CB8" w:rsidRPr="00312B84" w:rsidRDefault="002B4BED">
      <w:pPr>
        <w:pStyle w:val="1"/>
        <w:spacing w:before="620" w:after="160"/>
        <w:rPr>
          <w:sz w:val="24"/>
          <w:szCs w:val="24"/>
        </w:rPr>
      </w:pPr>
      <w:r w:rsidRPr="00312B84">
        <w:rPr>
          <w:rFonts w:eastAsia="Calibri Light"/>
          <w:b/>
          <w:bCs/>
          <w:color w:val="1C3660"/>
          <w:sz w:val="48"/>
          <w:szCs w:val="48"/>
        </w:rPr>
        <w:t>4. Software industry by AI impact</w:t>
      </w:r>
    </w:p>
    <w:p w14:paraId="6EB36A49" w14:textId="77777777" w:rsidR="00813CB8" w:rsidRPr="00312B84" w:rsidRDefault="002B4BED">
      <w:pPr>
        <w:pStyle w:val="2"/>
        <w:spacing w:before="560" w:after="140"/>
        <w:rPr>
          <w:sz w:val="22"/>
          <w:szCs w:val="22"/>
        </w:rPr>
      </w:pPr>
      <w:r w:rsidRPr="00312B84">
        <w:rPr>
          <w:rFonts w:eastAsia="Calibri Light"/>
          <w:color w:val="001F5F"/>
          <w:sz w:val="40"/>
          <w:szCs w:val="40"/>
        </w:rPr>
        <w:t>4.1 Broker &amp; company view summary</w:t>
      </w:r>
    </w:p>
    <w:p w14:paraId="6EB36A4A" w14:textId="77777777" w:rsidR="00813CB8" w:rsidRPr="00312B84" w:rsidRDefault="002B4BED">
      <w:pPr>
        <w:spacing w:before="160" w:after="80"/>
        <w:ind w:left="200"/>
        <w:rPr>
          <w:sz w:val="24"/>
          <w:szCs w:val="24"/>
        </w:rPr>
      </w:pPr>
      <w:r w:rsidRPr="00312B84">
        <w:rPr>
          <w:rFonts w:eastAsia="Calibri Light"/>
          <w:b/>
          <w:bCs/>
          <w:color w:val="1C3660"/>
          <w:sz w:val="24"/>
          <w:szCs w:val="24"/>
        </w:rPr>
        <w:t>Broker view</w:t>
      </w:r>
    </w:p>
    <w:tbl>
      <w:tblPr>
        <w:tblW w:w="10244"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CellMar>
          <w:left w:w="10" w:type="dxa"/>
          <w:right w:w="10" w:type="dxa"/>
        </w:tblCellMar>
        <w:tblLook w:val="04A0" w:firstRow="1" w:lastRow="0" w:firstColumn="1" w:lastColumn="0" w:noHBand="0" w:noVBand="1"/>
      </w:tblPr>
      <w:tblGrid>
        <w:gridCol w:w="1025"/>
        <w:gridCol w:w="3073"/>
        <w:gridCol w:w="3073"/>
        <w:gridCol w:w="3073"/>
      </w:tblGrid>
      <w:tr w:rsidR="00813CB8" w:rsidRPr="00312B84" w14:paraId="6EB36A4F" w14:textId="77777777">
        <w:trPr>
          <w:cantSplit/>
          <w:tblHeader/>
        </w:trPr>
        <w:tc>
          <w:tcPr>
            <w:tcW w:w="1025" w:type="dxa"/>
            <w:shd w:val="clear" w:color="auto" w:fill="1F3B5B"/>
            <w:tcMar>
              <w:top w:w="90" w:type="dxa"/>
              <w:left w:w="120" w:type="dxa"/>
              <w:bottom w:w="90" w:type="dxa"/>
              <w:right w:w="120" w:type="dxa"/>
            </w:tcMar>
            <w:vAlign w:val="center"/>
          </w:tcPr>
          <w:p w14:paraId="6EB36A4B" w14:textId="77777777" w:rsidR="00813CB8" w:rsidRPr="00312B84" w:rsidRDefault="00813CB8">
            <w:pPr>
              <w:spacing w:after="40"/>
              <w:rPr>
                <w:sz w:val="20"/>
                <w:szCs w:val="20"/>
              </w:rPr>
            </w:pPr>
          </w:p>
        </w:tc>
        <w:tc>
          <w:tcPr>
            <w:tcW w:w="3073" w:type="dxa"/>
            <w:shd w:val="clear" w:color="auto" w:fill="1F3B5B"/>
            <w:tcMar>
              <w:top w:w="90" w:type="dxa"/>
              <w:left w:w="120" w:type="dxa"/>
              <w:bottom w:w="90" w:type="dxa"/>
              <w:right w:w="120" w:type="dxa"/>
            </w:tcMar>
            <w:vAlign w:val="center"/>
          </w:tcPr>
          <w:p w14:paraId="6EB36A4C" w14:textId="77777777" w:rsidR="00813CB8" w:rsidRPr="00312B84" w:rsidRDefault="002B4BED">
            <w:pPr>
              <w:spacing w:after="40"/>
              <w:jc w:val="center"/>
              <w:rPr>
                <w:sz w:val="20"/>
                <w:szCs w:val="20"/>
              </w:rPr>
            </w:pPr>
            <w:r w:rsidRPr="00312B84">
              <w:rPr>
                <w:rFonts w:ascii="Arial" w:eastAsia="Arial" w:hAnsi="Arial" w:cs="Arial"/>
                <w:b/>
                <w:bCs/>
                <w:color w:val="FFFFFF"/>
                <w:sz w:val="20"/>
                <w:szCs w:val="20"/>
              </w:rPr>
              <w:t>UBS</w:t>
            </w:r>
          </w:p>
        </w:tc>
        <w:tc>
          <w:tcPr>
            <w:tcW w:w="3073" w:type="dxa"/>
            <w:shd w:val="clear" w:color="auto" w:fill="1F3B5B"/>
            <w:tcMar>
              <w:top w:w="90" w:type="dxa"/>
              <w:left w:w="120" w:type="dxa"/>
              <w:bottom w:w="90" w:type="dxa"/>
              <w:right w:w="120" w:type="dxa"/>
            </w:tcMar>
            <w:vAlign w:val="center"/>
          </w:tcPr>
          <w:p w14:paraId="6EB36A4D" w14:textId="77777777" w:rsidR="00813CB8" w:rsidRPr="00312B84" w:rsidRDefault="002B4BED">
            <w:pPr>
              <w:spacing w:after="40"/>
              <w:jc w:val="center"/>
              <w:rPr>
                <w:sz w:val="20"/>
                <w:szCs w:val="20"/>
              </w:rPr>
            </w:pPr>
            <w:r w:rsidRPr="00312B84">
              <w:rPr>
                <w:rFonts w:ascii="Arial" w:eastAsia="Arial" w:hAnsi="Arial" w:cs="Arial"/>
                <w:b/>
                <w:bCs/>
                <w:color w:val="FFFFFF"/>
                <w:sz w:val="20"/>
                <w:szCs w:val="20"/>
              </w:rPr>
              <w:t>Goldman Sachs</w:t>
            </w:r>
          </w:p>
        </w:tc>
        <w:tc>
          <w:tcPr>
            <w:tcW w:w="3073" w:type="dxa"/>
            <w:shd w:val="clear" w:color="auto" w:fill="1F3B5B"/>
            <w:tcMar>
              <w:top w:w="90" w:type="dxa"/>
              <w:left w:w="120" w:type="dxa"/>
              <w:bottom w:w="90" w:type="dxa"/>
              <w:right w:w="120" w:type="dxa"/>
            </w:tcMar>
            <w:vAlign w:val="center"/>
          </w:tcPr>
          <w:p w14:paraId="6EB36A4E" w14:textId="77777777" w:rsidR="00813CB8" w:rsidRPr="00312B84" w:rsidRDefault="002B4BED">
            <w:pPr>
              <w:spacing w:after="40"/>
              <w:jc w:val="center"/>
              <w:rPr>
                <w:sz w:val="20"/>
                <w:szCs w:val="20"/>
              </w:rPr>
            </w:pPr>
            <w:r w:rsidRPr="00312B84">
              <w:rPr>
                <w:rFonts w:ascii="Arial" w:eastAsia="Arial" w:hAnsi="Arial" w:cs="Arial"/>
                <w:b/>
                <w:bCs/>
                <w:color w:val="FFFFFF"/>
                <w:sz w:val="20"/>
                <w:szCs w:val="20"/>
              </w:rPr>
              <w:t>BofA</w:t>
            </w:r>
          </w:p>
        </w:tc>
      </w:tr>
      <w:tr w:rsidR="00813CB8" w:rsidRPr="00312B84" w14:paraId="6EB36A5D" w14:textId="77777777">
        <w:trPr>
          <w:cantSplit/>
        </w:trPr>
        <w:tc>
          <w:tcPr>
            <w:tcW w:w="1025" w:type="dxa"/>
            <w:shd w:val="clear" w:color="auto" w:fill="EEF2F6"/>
            <w:tcMar>
              <w:top w:w="90" w:type="dxa"/>
              <w:left w:w="120" w:type="dxa"/>
              <w:bottom w:w="90" w:type="dxa"/>
              <w:right w:w="120" w:type="dxa"/>
            </w:tcMar>
            <w:vAlign w:val="center"/>
          </w:tcPr>
          <w:p w14:paraId="6EB36A50" w14:textId="77777777" w:rsidR="00813CB8" w:rsidRPr="00312B84" w:rsidRDefault="002B4BED">
            <w:pPr>
              <w:spacing w:after="40"/>
              <w:rPr>
                <w:sz w:val="20"/>
                <w:szCs w:val="20"/>
              </w:rPr>
            </w:pPr>
            <w:r w:rsidRPr="00312B84">
              <w:rPr>
                <w:rFonts w:ascii="Arial" w:eastAsia="Arial" w:hAnsi="Arial" w:cs="Arial"/>
                <w:b/>
                <w:bCs/>
                <w:color w:val="22303C"/>
                <w:sz w:val="20"/>
                <w:szCs w:val="20"/>
              </w:rPr>
              <w:t>Key points</w:t>
            </w:r>
          </w:p>
        </w:tc>
        <w:tc>
          <w:tcPr>
            <w:tcW w:w="3073" w:type="dxa"/>
            <w:tcMar>
              <w:top w:w="90" w:type="dxa"/>
              <w:left w:w="120" w:type="dxa"/>
              <w:bottom w:w="90" w:type="dxa"/>
              <w:right w:w="120" w:type="dxa"/>
            </w:tcMar>
            <w:vAlign w:val="center"/>
          </w:tcPr>
          <w:p w14:paraId="6EB36A51" w14:textId="77777777" w:rsidR="00813CB8" w:rsidRPr="00312B84" w:rsidRDefault="002B4BED">
            <w:pPr>
              <w:spacing w:after="40"/>
              <w:rPr>
                <w:sz w:val="20"/>
                <w:szCs w:val="20"/>
              </w:rPr>
            </w:pPr>
            <w:r w:rsidRPr="00312B84">
              <w:rPr>
                <w:rFonts w:ascii="Arial" w:eastAsia="Arial" w:hAnsi="Arial" w:cs="Arial"/>
                <w:color w:val="22303C"/>
                <w:sz w:val="20"/>
                <w:szCs w:val="20"/>
              </w:rPr>
              <w:t>•  Application software remains the funding source, not the beneficiary, of AI budgets — license rationalization, consolidation and 3–5% price-increase caps hit mature seat-based apps hardest, though deeply embedded apps resist cuts absent a replacement</w:t>
            </w:r>
          </w:p>
          <w:p w14:paraId="6EB36A52" w14:textId="77777777" w:rsidR="00813CB8" w:rsidRPr="00312B84" w:rsidRDefault="002B4BED">
            <w:pPr>
              <w:spacing w:after="40"/>
              <w:rPr>
                <w:sz w:val="20"/>
                <w:szCs w:val="20"/>
              </w:rPr>
            </w:pPr>
            <w:r w:rsidRPr="00312B84">
              <w:rPr>
                <w:rFonts w:ascii="Arial" w:eastAsia="Arial" w:hAnsi="Arial" w:cs="Arial"/>
                <w:color w:val="22303C"/>
                <w:sz w:val="20"/>
                <w:szCs w:val="20"/>
              </w:rPr>
              <w:t>•  Token-cost optimization is curbing growth, not cutting spend: per-employee caps and model routing are guardrails on a rising line, and down-tiering stays within the frontier labs</w:t>
            </w:r>
          </w:p>
          <w:p w14:paraId="6EB36A53" w14:textId="77777777" w:rsidR="00813CB8" w:rsidRPr="00312B84" w:rsidRDefault="002B4BED">
            <w:pPr>
              <w:spacing w:after="40"/>
              <w:rPr>
                <w:sz w:val="20"/>
                <w:szCs w:val="20"/>
              </w:rPr>
            </w:pPr>
            <w:r w:rsidRPr="00312B84">
              <w:rPr>
                <w:rFonts w:ascii="Arial" w:eastAsia="Arial" w:hAnsi="Arial" w:cs="Arial"/>
                <w:color w:val="22303C"/>
                <w:sz w:val="20"/>
                <w:szCs w:val="20"/>
              </w:rPr>
              <w:t>•  The seat-plus-usage transition will be messy for applications — buyers resist paying twice and cannot forecast consumption, so sales cycles lengthen; vendors staying on per-user pricing get hurt first</w:t>
            </w:r>
          </w:p>
          <w:p w14:paraId="6EB36A54" w14:textId="77777777" w:rsidR="00813CB8" w:rsidRPr="00312B84" w:rsidRDefault="002B4BED">
            <w:pPr>
              <w:spacing w:after="40"/>
              <w:rPr>
                <w:sz w:val="20"/>
                <w:szCs w:val="20"/>
              </w:rPr>
            </w:pPr>
            <w:r w:rsidRPr="00312B84">
              <w:rPr>
                <w:rFonts w:ascii="Arial" w:eastAsia="Arial" w:hAnsi="Arial" w:cs="Arial"/>
                <w:color w:val="22303C"/>
                <w:sz w:val="20"/>
                <w:szCs w:val="20"/>
              </w:rPr>
              <w:t>•  A token-orchestration layer above the models is emerging as a new value pool, while AI-enabled DIY becomes a competitive threat to niche apps and IT services — the most-cited budget offsets</w:t>
            </w:r>
          </w:p>
        </w:tc>
        <w:tc>
          <w:tcPr>
            <w:tcW w:w="3073" w:type="dxa"/>
            <w:tcMar>
              <w:top w:w="90" w:type="dxa"/>
              <w:left w:w="120" w:type="dxa"/>
              <w:bottom w:w="90" w:type="dxa"/>
              <w:right w:w="120" w:type="dxa"/>
            </w:tcMar>
            <w:vAlign w:val="center"/>
          </w:tcPr>
          <w:p w14:paraId="6EB36A55" w14:textId="77777777" w:rsidR="00813CB8" w:rsidRPr="00312B84" w:rsidRDefault="002B4BED">
            <w:pPr>
              <w:spacing w:after="40"/>
              <w:rPr>
                <w:sz w:val="20"/>
                <w:szCs w:val="20"/>
              </w:rPr>
            </w:pPr>
            <w:r w:rsidRPr="00312B84">
              <w:rPr>
                <w:rFonts w:ascii="Arial" w:eastAsia="Arial" w:hAnsi="Arial" w:cs="Arial"/>
                <w:color w:val="22303C"/>
                <w:sz w:val="20"/>
                <w:szCs w:val="20"/>
              </w:rPr>
              <w:t>•  Value accrues to the data and platform layer that enables custom agentic apps between SaaS silos — a 20% software TAM uplift by 2030, with organizational complexity drawing the custom-vs-packaged line</w:t>
            </w:r>
          </w:p>
          <w:p w14:paraId="6EB36A56" w14:textId="77777777" w:rsidR="00813CB8" w:rsidRPr="00312B84" w:rsidRDefault="002B4BED">
            <w:pPr>
              <w:spacing w:after="40"/>
              <w:rPr>
                <w:sz w:val="20"/>
                <w:szCs w:val="20"/>
              </w:rPr>
            </w:pPr>
            <w:r w:rsidRPr="00312B84">
              <w:rPr>
                <w:rFonts w:ascii="Arial" w:eastAsia="Arial" w:hAnsi="Arial" w:cs="Arial"/>
                <w:color w:val="22303C"/>
                <w:sz w:val="20"/>
                <w:szCs w:val="20"/>
              </w:rPr>
              <w:t>•  AI erodes bad-sticky moats: companies held only by migration costs are exposed as AI cheapens migration itself; durable moats need accelerating innovation and open ecosystems</w:t>
            </w:r>
          </w:p>
          <w:p w14:paraId="6EB36A57" w14:textId="77777777" w:rsidR="00813CB8" w:rsidRPr="00312B84" w:rsidRDefault="002B4BED">
            <w:pPr>
              <w:spacing w:after="40"/>
              <w:rPr>
                <w:sz w:val="20"/>
                <w:szCs w:val="20"/>
              </w:rPr>
            </w:pPr>
            <w:r w:rsidRPr="00312B84">
              <w:rPr>
                <w:rFonts w:ascii="Arial" w:eastAsia="Arial" w:hAnsi="Arial" w:cs="Arial"/>
                <w:color w:val="22303C"/>
                <w:sz w:val="20"/>
                <w:szCs w:val="20"/>
              </w:rPr>
              <w:t>•  Front-office monetization shifts to usage — per conversation, per resolution — and the customer-service TAM inflects down as profit pools shift to agents; marketing software is comparatively resilient</w:t>
            </w:r>
          </w:p>
          <w:p w14:paraId="6EB36A58" w14:textId="77777777" w:rsidR="00813CB8" w:rsidRPr="00312B84" w:rsidRDefault="002B4BED">
            <w:pPr>
              <w:spacing w:after="40"/>
              <w:rPr>
                <w:sz w:val="20"/>
                <w:szCs w:val="20"/>
              </w:rPr>
            </w:pPr>
            <w:r w:rsidRPr="00312B84">
              <w:rPr>
                <w:rFonts w:ascii="Arial" w:eastAsia="Arial" w:hAnsi="Arial" w:cs="Arial"/>
                <w:color w:val="22303C"/>
                <w:sz w:val="20"/>
                <w:szCs w:val="20"/>
              </w:rPr>
              <w:t>•  The system of record captures ~5% of deal-relevant information; contested value sits in context and intelligent-action layers over unstructured data, with headless surfaces amplifying upstream data owners</w:t>
            </w:r>
          </w:p>
        </w:tc>
        <w:tc>
          <w:tcPr>
            <w:tcW w:w="3073" w:type="dxa"/>
            <w:tcMar>
              <w:top w:w="90" w:type="dxa"/>
              <w:left w:w="120" w:type="dxa"/>
              <w:bottom w:w="90" w:type="dxa"/>
              <w:right w:w="120" w:type="dxa"/>
            </w:tcMar>
            <w:vAlign w:val="center"/>
          </w:tcPr>
          <w:p w14:paraId="6EB36A59" w14:textId="77777777" w:rsidR="00813CB8" w:rsidRPr="00312B84" w:rsidRDefault="002B4BED">
            <w:pPr>
              <w:spacing w:after="40"/>
              <w:rPr>
                <w:sz w:val="20"/>
                <w:szCs w:val="20"/>
              </w:rPr>
            </w:pPr>
            <w:r w:rsidRPr="00312B84">
              <w:rPr>
                <w:rFonts w:ascii="Arial" w:eastAsia="Arial" w:hAnsi="Arial" w:cs="Arial"/>
                <w:color w:val="22303C"/>
                <w:sz w:val="20"/>
                <w:szCs w:val="20"/>
              </w:rPr>
              <w:t>•  AI has become a monetization event delivered through hybrid pricing — uniformly constructive management tone across 25 conference sessions, with explicit winners and losers</w:t>
            </w:r>
          </w:p>
          <w:p w14:paraId="6EB36A5A" w14:textId="77777777" w:rsidR="00813CB8" w:rsidRPr="00312B84" w:rsidRDefault="002B4BED">
            <w:pPr>
              <w:spacing w:after="40"/>
              <w:rPr>
                <w:sz w:val="20"/>
                <w:szCs w:val="20"/>
              </w:rPr>
            </w:pPr>
            <w:r w:rsidRPr="00312B84">
              <w:rPr>
                <w:rFonts w:ascii="Arial" w:eastAsia="Arial" w:hAnsi="Arial" w:cs="Arial"/>
                <w:color w:val="22303C"/>
                <w:sz w:val="20"/>
                <w:szCs w:val="20"/>
              </w:rPr>
              <w:t>•  Infrastructure re-rated: peer-group target multiple raised to 5.8x from 5.0x EV/CY27E revenue on consumption models capturing AI workloads directly</w:t>
            </w:r>
          </w:p>
          <w:p w14:paraId="6EB36A5B" w14:textId="77777777" w:rsidR="00813CB8" w:rsidRPr="00312B84" w:rsidRDefault="002B4BED">
            <w:pPr>
              <w:spacing w:after="40"/>
              <w:rPr>
                <w:sz w:val="20"/>
                <w:szCs w:val="20"/>
              </w:rPr>
            </w:pPr>
            <w:r w:rsidRPr="00312B84">
              <w:rPr>
                <w:rFonts w:ascii="Arial" w:eastAsia="Arial" w:hAnsi="Arial" w:cs="Arial"/>
                <w:color w:val="22303C"/>
                <w:sz w:val="20"/>
                <w:szCs w:val="20"/>
              </w:rPr>
              <w:t>•  The defensible application pattern is the coordination, context and governance layer above the LLM — persistent context plus permissions is the moat, not the interface</w:t>
            </w:r>
          </w:p>
          <w:p w14:paraId="6EB36A5C" w14:textId="77777777" w:rsidR="00813CB8" w:rsidRPr="00312B84" w:rsidRDefault="002B4BED">
            <w:pPr>
              <w:spacing w:after="40"/>
              <w:rPr>
                <w:sz w:val="20"/>
                <w:szCs w:val="20"/>
              </w:rPr>
            </w:pPr>
            <w:r w:rsidRPr="00312B84">
              <w:rPr>
                <w:rFonts w:ascii="Arial" w:eastAsia="Arial" w:hAnsi="Arial" w:cs="Arial"/>
                <w:color w:val="22303C"/>
                <w:sz w:val="20"/>
                <w:szCs w:val="20"/>
              </w:rPr>
              <w:t>•  Front-office incumbents claim AI is net seat-expansive via 60–80% premium-SKU uplift and consumption credits, while conceding the agentic layer itself may commoditize</w:t>
            </w:r>
          </w:p>
        </w:tc>
      </w:tr>
      <w:tr w:rsidR="00813CB8" w:rsidRPr="00312B84" w14:paraId="6EB36A62" w14:textId="77777777">
        <w:trPr>
          <w:cantSplit/>
        </w:trPr>
        <w:tc>
          <w:tcPr>
            <w:tcW w:w="1025" w:type="dxa"/>
            <w:shd w:val="clear" w:color="auto" w:fill="EEF2F6"/>
            <w:tcMar>
              <w:top w:w="90" w:type="dxa"/>
              <w:left w:w="120" w:type="dxa"/>
              <w:bottom w:w="90" w:type="dxa"/>
              <w:right w:w="120" w:type="dxa"/>
            </w:tcMar>
            <w:vAlign w:val="center"/>
          </w:tcPr>
          <w:p w14:paraId="6EB36A5E" w14:textId="77777777" w:rsidR="00813CB8" w:rsidRPr="00312B84" w:rsidRDefault="002B4BED">
            <w:pPr>
              <w:spacing w:after="40"/>
              <w:rPr>
                <w:sz w:val="20"/>
                <w:szCs w:val="20"/>
              </w:rPr>
            </w:pPr>
            <w:r w:rsidRPr="00312B84">
              <w:rPr>
                <w:rFonts w:ascii="Arial" w:eastAsia="Arial" w:hAnsi="Arial" w:cs="Arial"/>
                <w:b/>
                <w:bCs/>
                <w:color w:val="22303C"/>
                <w:sz w:val="20"/>
                <w:szCs w:val="20"/>
              </w:rPr>
              <w:t>QoQ Chg</w:t>
            </w:r>
          </w:p>
        </w:tc>
        <w:tc>
          <w:tcPr>
            <w:tcW w:w="3073" w:type="dxa"/>
            <w:tcMar>
              <w:top w:w="90" w:type="dxa"/>
              <w:left w:w="120" w:type="dxa"/>
              <w:bottom w:w="90" w:type="dxa"/>
              <w:right w:w="120" w:type="dxa"/>
            </w:tcMar>
            <w:vAlign w:val="center"/>
          </w:tcPr>
          <w:p w14:paraId="6EB36A5F" w14:textId="77777777" w:rsidR="00813CB8" w:rsidRPr="00312B84" w:rsidRDefault="002B4BED">
            <w:pPr>
              <w:spacing w:after="40"/>
              <w:rPr>
                <w:sz w:val="20"/>
                <w:szCs w:val="20"/>
              </w:rPr>
            </w:pPr>
            <w:r w:rsidRPr="00312B84">
              <w:rPr>
                <w:rFonts w:ascii="Arial" w:eastAsia="Arial" w:hAnsi="Arial" w:cs="Arial"/>
                <w:color w:val="22303C"/>
                <w:sz w:val="20"/>
                <w:szCs w:val="20"/>
              </w:rPr>
              <w:t>No shift — same framework, cautious on applications; the procurement channel reinforced the existing view</w:t>
            </w:r>
          </w:p>
        </w:tc>
        <w:tc>
          <w:tcPr>
            <w:tcW w:w="3073" w:type="dxa"/>
            <w:tcMar>
              <w:top w:w="90" w:type="dxa"/>
              <w:left w:w="120" w:type="dxa"/>
              <w:bottom w:w="90" w:type="dxa"/>
              <w:right w:w="120" w:type="dxa"/>
            </w:tcMar>
            <w:vAlign w:val="center"/>
          </w:tcPr>
          <w:p w14:paraId="6EB36A60" w14:textId="77777777" w:rsidR="00813CB8" w:rsidRPr="00312B84" w:rsidRDefault="002B4BED">
            <w:pPr>
              <w:spacing w:after="40"/>
              <w:rPr>
                <w:sz w:val="20"/>
                <w:szCs w:val="20"/>
              </w:rPr>
            </w:pPr>
            <w:r w:rsidRPr="00312B84">
              <w:rPr>
                <w:rFonts w:ascii="Arial" w:eastAsia="Arial" w:hAnsi="Arial" w:cs="Arial"/>
                <w:color w:val="22303C"/>
                <w:sz w:val="20"/>
                <w:szCs w:val="20"/>
              </w:rPr>
              <w:t>Incrementally more constructive on agentic applications — new Buy initiations in customer-experience software on share-shift to modern stacks</w:t>
            </w:r>
          </w:p>
        </w:tc>
        <w:tc>
          <w:tcPr>
            <w:tcW w:w="3073" w:type="dxa"/>
            <w:tcMar>
              <w:top w:w="90" w:type="dxa"/>
              <w:left w:w="120" w:type="dxa"/>
              <w:bottom w:w="90" w:type="dxa"/>
              <w:right w:w="120" w:type="dxa"/>
            </w:tcMar>
            <w:vAlign w:val="center"/>
          </w:tcPr>
          <w:p w14:paraId="6EB36A61" w14:textId="77777777" w:rsidR="00813CB8" w:rsidRPr="00312B84" w:rsidRDefault="002B4BED">
            <w:pPr>
              <w:spacing w:after="40"/>
              <w:rPr>
                <w:sz w:val="20"/>
                <w:szCs w:val="20"/>
              </w:rPr>
            </w:pPr>
            <w:r w:rsidRPr="00312B84">
              <w:rPr>
                <w:rFonts w:ascii="Arial" w:eastAsia="Arial" w:hAnsi="Arial" w:cs="Arial"/>
                <w:color w:val="22303C"/>
                <w:sz w:val="20"/>
                <w:szCs w:val="20"/>
              </w:rPr>
              <w:t>More constructive — infrastructure multiple lifted, price objectives raised across the data layer</w:t>
            </w:r>
          </w:p>
        </w:tc>
      </w:tr>
    </w:tbl>
    <w:p w14:paraId="6EB36A63" w14:textId="77777777" w:rsidR="00813CB8" w:rsidRPr="00312B84" w:rsidRDefault="002B4BED">
      <w:pPr>
        <w:spacing w:after="200"/>
        <w:ind w:left="200"/>
        <w:rPr>
          <w:sz w:val="24"/>
          <w:szCs w:val="24"/>
        </w:rPr>
      </w:pPr>
      <w:r w:rsidRPr="00312B84">
        <w:rPr>
          <w:rFonts w:ascii="Arial" w:eastAsia="Arial" w:hAnsi="Arial" w:cs="Arial"/>
          <w:i/>
          <w:iCs/>
          <w:color w:val="5A6B7B"/>
          <w:sz w:val="13"/>
          <w:szCs w:val="13"/>
        </w:rPr>
        <w:t>Columns reflect the research received this quarter — five reports across three houses, June–July 2026; same-house reports merged. Source: broker reports on file</w:t>
      </w:r>
    </w:p>
    <w:p w14:paraId="6EB36A64" w14:textId="77777777" w:rsidR="00813CB8" w:rsidRPr="00312B84" w:rsidRDefault="002B4BED">
      <w:pPr>
        <w:spacing w:before="160" w:after="80"/>
        <w:ind w:left="200"/>
        <w:rPr>
          <w:sz w:val="24"/>
          <w:szCs w:val="24"/>
        </w:rPr>
      </w:pPr>
      <w:r w:rsidRPr="00312B84">
        <w:rPr>
          <w:rFonts w:eastAsia="Calibri Light"/>
          <w:b/>
          <w:bCs/>
          <w:color w:val="1C3660"/>
          <w:sz w:val="24"/>
          <w:szCs w:val="24"/>
        </w:rPr>
        <w:t>Company view</w:t>
      </w:r>
    </w:p>
    <w:tbl>
      <w:tblPr>
        <w:tblW w:w="10244"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CellMar>
          <w:left w:w="10" w:type="dxa"/>
          <w:right w:w="10" w:type="dxa"/>
        </w:tblCellMar>
        <w:tblLook w:val="04A0" w:firstRow="1" w:lastRow="0" w:firstColumn="1" w:lastColumn="0" w:noHBand="0" w:noVBand="1"/>
      </w:tblPr>
      <w:tblGrid>
        <w:gridCol w:w="1024"/>
        <w:gridCol w:w="4610"/>
        <w:gridCol w:w="4610"/>
      </w:tblGrid>
      <w:tr w:rsidR="00813CB8" w:rsidRPr="00312B84" w14:paraId="6EB36A68" w14:textId="77777777">
        <w:trPr>
          <w:cantSplit/>
          <w:tblHeader/>
        </w:trPr>
        <w:tc>
          <w:tcPr>
            <w:tcW w:w="1024" w:type="dxa"/>
            <w:shd w:val="clear" w:color="auto" w:fill="1F3B5B"/>
            <w:tcMar>
              <w:top w:w="90" w:type="dxa"/>
              <w:left w:w="120" w:type="dxa"/>
              <w:bottom w:w="90" w:type="dxa"/>
              <w:right w:w="120" w:type="dxa"/>
            </w:tcMar>
            <w:vAlign w:val="center"/>
          </w:tcPr>
          <w:p w14:paraId="6EB36A65" w14:textId="77777777" w:rsidR="00813CB8" w:rsidRPr="00312B84" w:rsidRDefault="00813CB8">
            <w:pPr>
              <w:spacing w:after="40"/>
              <w:rPr>
                <w:sz w:val="20"/>
                <w:szCs w:val="20"/>
              </w:rPr>
            </w:pPr>
          </w:p>
        </w:tc>
        <w:tc>
          <w:tcPr>
            <w:tcW w:w="4610" w:type="dxa"/>
            <w:shd w:val="clear" w:color="auto" w:fill="1F3B5B"/>
            <w:tcMar>
              <w:top w:w="90" w:type="dxa"/>
              <w:left w:w="120" w:type="dxa"/>
              <w:bottom w:w="90" w:type="dxa"/>
              <w:right w:w="120" w:type="dxa"/>
            </w:tcMar>
            <w:vAlign w:val="center"/>
          </w:tcPr>
          <w:p w14:paraId="6EB36A66" w14:textId="77777777" w:rsidR="00813CB8" w:rsidRPr="00312B84" w:rsidRDefault="002B4BED">
            <w:pPr>
              <w:spacing w:after="40"/>
              <w:jc w:val="center"/>
              <w:rPr>
                <w:sz w:val="20"/>
                <w:szCs w:val="20"/>
              </w:rPr>
            </w:pPr>
            <w:r w:rsidRPr="00312B84">
              <w:rPr>
                <w:rFonts w:ascii="Arial" w:eastAsia="Arial" w:hAnsi="Arial" w:cs="Arial"/>
                <w:b/>
                <w:bCs/>
                <w:color w:val="FFFFFF"/>
                <w:sz w:val="20"/>
                <w:szCs w:val="20"/>
              </w:rPr>
              <w:t>MSFT — Microsoft, FY26Q3 call Apr 29</w:t>
            </w:r>
          </w:p>
        </w:tc>
        <w:tc>
          <w:tcPr>
            <w:tcW w:w="4610" w:type="dxa"/>
            <w:shd w:val="clear" w:color="auto" w:fill="1F3B5B"/>
            <w:tcMar>
              <w:top w:w="90" w:type="dxa"/>
              <w:left w:w="120" w:type="dxa"/>
              <w:bottom w:w="90" w:type="dxa"/>
              <w:right w:w="120" w:type="dxa"/>
            </w:tcMar>
            <w:vAlign w:val="center"/>
          </w:tcPr>
          <w:p w14:paraId="6EB36A67" w14:textId="77777777" w:rsidR="00813CB8" w:rsidRPr="00312B84" w:rsidRDefault="002B4BED">
            <w:pPr>
              <w:spacing w:after="40"/>
              <w:jc w:val="center"/>
              <w:rPr>
                <w:sz w:val="20"/>
                <w:szCs w:val="20"/>
              </w:rPr>
            </w:pPr>
            <w:r w:rsidRPr="00312B84">
              <w:rPr>
                <w:rFonts w:ascii="Arial" w:eastAsia="Arial" w:hAnsi="Arial" w:cs="Arial"/>
                <w:b/>
                <w:bCs/>
                <w:color w:val="FFFFFF"/>
                <w:sz w:val="20"/>
                <w:szCs w:val="20"/>
              </w:rPr>
              <w:t>ORCL — Oracle, FY26Q4 call Jun 10</w:t>
            </w:r>
          </w:p>
        </w:tc>
      </w:tr>
      <w:tr w:rsidR="00813CB8" w:rsidRPr="00312B84" w14:paraId="6EB36A6C" w14:textId="77777777">
        <w:trPr>
          <w:cantSplit/>
        </w:trPr>
        <w:tc>
          <w:tcPr>
            <w:tcW w:w="1024" w:type="dxa"/>
            <w:shd w:val="clear" w:color="auto" w:fill="EEF2F6"/>
            <w:tcMar>
              <w:top w:w="90" w:type="dxa"/>
              <w:left w:w="120" w:type="dxa"/>
              <w:bottom w:w="90" w:type="dxa"/>
              <w:right w:w="120" w:type="dxa"/>
            </w:tcMar>
            <w:vAlign w:val="center"/>
          </w:tcPr>
          <w:p w14:paraId="6EB36A69" w14:textId="77777777" w:rsidR="00813CB8" w:rsidRPr="00312B84" w:rsidRDefault="002B4BED">
            <w:pPr>
              <w:spacing w:after="40"/>
              <w:rPr>
                <w:sz w:val="20"/>
                <w:szCs w:val="20"/>
              </w:rPr>
            </w:pPr>
            <w:r w:rsidRPr="00312B84">
              <w:rPr>
                <w:rFonts w:ascii="Arial" w:eastAsia="Arial" w:hAnsi="Arial" w:cs="Arial"/>
                <w:b/>
                <w:bCs/>
                <w:color w:val="22303C"/>
                <w:sz w:val="20"/>
                <w:szCs w:val="20"/>
              </w:rPr>
              <w:t>View</w:t>
            </w:r>
          </w:p>
        </w:tc>
        <w:tc>
          <w:tcPr>
            <w:tcW w:w="4610" w:type="dxa"/>
            <w:tcMar>
              <w:top w:w="90" w:type="dxa"/>
              <w:left w:w="120" w:type="dxa"/>
              <w:bottom w:w="90" w:type="dxa"/>
              <w:right w:w="120" w:type="dxa"/>
            </w:tcMar>
            <w:vAlign w:val="center"/>
          </w:tcPr>
          <w:p w14:paraId="6EB36A6A" w14:textId="77777777" w:rsidR="00813CB8" w:rsidRPr="00312B84" w:rsidRDefault="002B4BED">
            <w:pPr>
              <w:spacing w:after="40"/>
              <w:rPr>
                <w:sz w:val="20"/>
                <w:szCs w:val="20"/>
              </w:rPr>
            </w:pPr>
            <w:r w:rsidRPr="00312B84">
              <w:rPr>
                <w:rFonts w:ascii="Arial" w:eastAsia="Arial" w:hAnsi="Arial" w:cs="Arial"/>
                <w:color w:val="22303C"/>
                <w:sz w:val="20"/>
                <w:szCs w:val="20"/>
              </w:rPr>
              <w:t>Offense — monetizing AI across all three layers now</w:t>
            </w:r>
          </w:p>
        </w:tc>
        <w:tc>
          <w:tcPr>
            <w:tcW w:w="4610" w:type="dxa"/>
            <w:tcMar>
              <w:top w:w="90" w:type="dxa"/>
              <w:left w:w="120" w:type="dxa"/>
              <w:bottom w:w="90" w:type="dxa"/>
              <w:right w:w="120" w:type="dxa"/>
            </w:tcMar>
            <w:vAlign w:val="center"/>
          </w:tcPr>
          <w:p w14:paraId="6EB36A6B" w14:textId="77777777" w:rsidR="00813CB8" w:rsidRPr="00312B84" w:rsidRDefault="002B4BED">
            <w:pPr>
              <w:spacing w:after="40"/>
              <w:rPr>
                <w:sz w:val="20"/>
                <w:szCs w:val="20"/>
              </w:rPr>
            </w:pPr>
            <w:r w:rsidRPr="00312B84">
              <w:rPr>
                <w:rFonts w:ascii="Arial" w:eastAsia="Arial" w:hAnsi="Arial" w:cs="Arial"/>
                <w:color w:val="22303C"/>
                <w:sz w:val="20"/>
                <w:szCs w:val="20"/>
              </w:rPr>
              <w:t>Offense — full-stack AI-infrastructure landgrab with embedded apps AI</w:t>
            </w:r>
          </w:p>
        </w:tc>
      </w:tr>
      <w:tr w:rsidR="00813CB8" w:rsidRPr="00312B84" w14:paraId="6EB36A76" w14:textId="77777777">
        <w:trPr>
          <w:cantSplit/>
        </w:trPr>
        <w:tc>
          <w:tcPr>
            <w:tcW w:w="1024" w:type="dxa"/>
            <w:shd w:val="clear" w:color="auto" w:fill="EEF2F6"/>
            <w:tcMar>
              <w:top w:w="90" w:type="dxa"/>
              <w:left w:w="120" w:type="dxa"/>
              <w:bottom w:w="90" w:type="dxa"/>
              <w:right w:w="120" w:type="dxa"/>
            </w:tcMar>
            <w:vAlign w:val="center"/>
          </w:tcPr>
          <w:p w14:paraId="6EB36A6D" w14:textId="77777777" w:rsidR="00813CB8" w:rsidRPr="00312B84" w:rsidRDefault="002B4BED">
            <w:pPr>
              <w:spacing w:after="40"/>
              <w:rPr>
                <w:sz w:val="20"/>
                <w:szCs w:val="20"/>
              </w:rPr>
            </w:pPr>
            <w:r w:rsidRPr="00312B84">
              <w:rPr>
                <w:rFonts w:ascii="Arial" w:eastAsia="Arial" w:hAnsi="Arial" w:cs="Arial"/>
                <w:b/>
                <w:bCs/>
                <w:color w:val="22303C"/>
                <w:sz w:val="20"/>
                <w:szCs w:val="20"/>
              </w:rPr>
              <w:t>Key points</w:t>
            </w:r>
          </w:p>
        </w:tc>
        <w:tc>
          <w:tcPr>
            <w:tcW w:w="4610" w:type="dxa"/>
            <w:tcMar>
              <w:top w:w="90" w:type="dxa"/>
              <w:left w:w="120" w:type="dxa"/>
              <w:bottom w:w="90" w:type="dxa"/>
              <w:right w:w="120" w:type="dxa"/>
            </w:tcMar>
            <w:vAlign w:val="center"/>
          </w:tcPr>
          <w:p w14:paraId="6EB36A6E" w14:textId="77777777" w:rsidR="00813CB8" w:rsidRPr="00312B84" w:rsidRDefault="002B4BED">
            <w:pPr>
              <w:spacing w:after="40"/>
              <w:rPr>
                <w:sz w:val="20"/>
                <w:szCs w:val="20"/>
              </w:rPr>
            </w:pPr>
            <w:r w:rsidRPr="00312B84">
              <w:rPr>
                <w:rFonts w:ascii="Arial" w:eastAsia="Arial" w:hAnsi="Arial" w:cs="Arial"/>
                <w:color w:val="22303C"/>
                <w:sz w:val="20"/>
                <w:szCs w:val="20"/>
              </w:rPr>
              <w:t>•  AI business ARR passed $37bn, +123% y/y; M365 Copilot exceeded 20mm paid seats with record adds</w:t>
            </w:r>
          </w:p>
          <w:p w14:paraId="6EB36A6F" w14:textId="77777777" w:rsidR="00813CB8" w:rsidRPr="00312B84" w:rsidRDefault="002B4BED">
            <w:pPr>
              <w:spacing w:after="40"/>
              <w:rPr>
                <w:sz w:val="20"/>
                <w:szCs w:val="20"/>
              </w:rPr>
            </w:pPr>
            <w:r w:rsidRPr="00312B84">
              <w:rPr>
                <w:rFonts w:ascii="Arial" w:eastAsia="Arial" w:hAnsi="Arial" w:cs="Arial"/>
                <w:color w:val="22303C"/>
                <w:sz w:val="20"/>
                <w:szCs w:val="20"/>
              </w:rPr>
              <w:t>•  Every per-user business becomes per-user plus usage — seat pricing framed as an entitlement to consumption; GitHub Copilot moved to usage pricing June 1</w:t>
            </w:r>
          </w:p>
          <w:p w14:paraId="6EB36A70" w14:textId="77777777" w:rsidR="00813CB8" w:rsidRPr="00312B84" w:rsidRDefault="002B4BED">
            <w:pPr>
              <w:spacing w:after="40"/>
              <w:rPr>
                <w:sz w:val="20"/>
                <w:szCs w:val="20"/>
              </w:rPr>
            </w:pPr>
            <w:r w:rsidRPr="00312B84">
              <w:rPr>
                <w:rFonts w:ascii="Arial" w:eastAsia="Arial" w:hAnsi="Arial" w:cs="Arial"/>
                <w:color w:val="22303C"/>
                <w:sz w:val="20"/>
                <w:szCs w:val="20"/>
              </w:rPr>
              <w:t>•  Commercial RPO $627bn, +99% y/y; Azure ~+40% and capacity-constrained through 2026; ~$190bn CY26 capex</w:t>
            </w:r>
          </w:p>
          <w:p w14:paraId="6EB36A71" w14:textId="77777777" w:rsidR="00813CB8" w:rsidRPr="00312B84" w:rsidRDefault="002B4BED">
            <w:pPr>
              <w:spacing w:after="40"/>
              <w:rPr>
                <w:sz w:val="20"/>
                <w:szCs w:val="20"/>
              </w:rPr>
            </w:pPr>
            <w:r w:rsidRPr="00312B84">
              <w:rPr>
                <w:rFonts w:ascii="Arial" w:eastAsia="Arial" w:hAnsi="Arial" w:cs="Arial"/>
                <w:color w:val="22303C"/>
                <w:sz w:val="20"/>
                <w:szCs w:val="20"/>
              </w:rPr>
              <w:t>•  Friction is visible where the pricing shift bites: Dynamics 365 bookings hit by renewal hesitation between per-seat and seats-plus-consumption</w:t>
            </w:r>
          </w:p>
        </w:tc>
        <w:tc>
          <w:tcPr>
            <w:tcW w:w="4610" w:type="dxa"/>
            <w:tcMar>
              <w:top w:w="90" w:type="dxa"/>
              <w:left w:w="120" w:type="dxa"/>
              <w:bottom w:w="90" w:type="dxa"/>
              <w:right w:w="120" w:type="dxa"/>
            </w:tcMar>
            <w:vAlign w:val="center"/>
          </w:tcPr>
          <w:p w14:paraId="6EB36A72" w14:textId="77777777" w:rsidR="00813CB8" w:rsidRPr="00312B84" w:rsidRDefault="002B4BED">
            <w:pPr>
              <w:spacing w:after="40"/>
              <w:rPr>
                <w:sz w:val="20"/>
                <w:szCs w:val="20"/>
              </w:rPr>
            </w:pPr>
            <w:r w:rsidRPr="00312B84">
              <w:rPr>
                <w:rFonts w:ascii="Arial" w:eastAsia="Arial" w:hAnsi="Arial" w:cs="Arial"/>
                <w:color w:val="22303C"/>
                <w:sz w:val="20"/>
                <w:szCs w:val="20"/>
              </w:rPr>
              <w:t>•  RPO $638bn, +363% y/y, with $67bn of AI-infrastructure contracts signed in the quarter; GPU utilization 97.5%</w:t>
            </w:r>
          </w:p>
          <w:p w14:paraId="6EB36A73" w14:textId="77777777" w:rsidR="00813CB8" w:rsidRPr="00312B84" w:rsidRDefault="002B4BED">
            <w:pPr>
              <w:spacing w:after="40"/>
              <w:rPr>
                <w:sz w:val="20"/>
                <w:szCs w:val="20"/>
              </w:rPr>
            </w:pPr>
            <w:r w:rsidRPr="00312B84">
              <w:rPr>
                <w:rFonts w:ascii="Arial" w:eastAsia="Arial" w:hAnsi="Arial" w:cs="Arial"/>
                <w:color w:val="22303C"/>
                <w:sz w:val="20"/>
                <w:szCs w:val="20"/>
              </w:rPr>
              <w:t>•  FY27 revenue guided +34% cc; ~$70bn net capex funded partly by a planned $40bn raise; infrastructure ROIC guided high-20s</w:t>
            </w:r>
          </w:p>
          <w:p w14:paraId="6EB36A74" w14:textId="77777777" w:rsidR="00813CB8" w:rsidRPr="00312B84" w:rsidRDefault="002B4BED">
            <w:pPr>
              <w:spacing w:after="40"/>
              <w:rPr>
                <w:sz w:val="20"/>
                <w:szCs w:val="20"/>
              </w:rPr>
            </w:pPr>
            <w:r w:rsidRPr="00312B84">
              <w:rPr>
                <w:rFonts w:ascii="Arial" w:eastAsia="Arial" w:hAnsi="Arial" w:cs="Arial"/>
                <w:color w:val="22303C"/>
                <w:sz w:val="20"/>
                <w:szCs w:val="20"/>
              </w:rPr>
              <w:t>•  New pricing models across the app suite: token bundles with 33 early customers plus outcome-based pricing per candidate screened or per upsell</w:t>
            </w:r>
          </w:p>
          <w:p w14:paraId="6EB36A75" w14:textId="77777777" w:rsidR="00813CB8" w:rsidRPr="00312B84" w:rsidRDefault="002B4BED">
            <w:pPr>
              <w:spacing w:after="40"/>
              <w:rPr>
                <w:sz w:val="20"/>
                <w:szCs w:val="20"/>
              </w:rPr>
            </w:pPr>
            <w:r w:rsidRPr="00312B84">
              <w:rPr>
                <w:rFonts w:ascii="Arial" w:eastAsia="Arial" w:hAnsi="Arial" w:cs="Arial"/>
                <w:color w:val="22303C"/>
                <w:sz w:val="20"/>
                <w:szCs w:val="20"/>
              </w:rPr>
              <w:t>•  Management dismissed the SaaSpocalypse — decision delays of two quarters ago have passed in mission-critical categories; SaaS deferred revenue +16%</w:t>
            </w:r>
          </w:p>
        </w:tc>
      </w:tr>
    </w:tbl>
    <w:p w14:paraId="6EB36A77" w14:textId="77777777" w:rsidR="00813CB8" w:rsidRPr="00312B84" w:rsidRDefault="00813CB8">
      <w:pPr>
        <w:spacing w:after="120"/>
        <w:rPr>
          <w:sz w:val="24"/>
          <w:szCs w:val="24"/>
        </w:rPr>
      </w:pPr>
    </w:p>
    <w:tbl>
      <w:tblPr>
        <w:tblW w:w="10244"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CellMar>
          <w:left w:w="10" w:type="dxa"/>
          <w:right w:w="10" w:type="dxa"/>
        </w:tblCellMar>
        <w:tblLook w:val="04A0" w:firstRow="1" w:lastRow="0" w:firstColumn="1" w:lastColumn="0" w:noHBand="0" w:noVBand="1"/>
      </w:tblPr>
      <w:tblGrid>
        <w:gridCol w:w="1024"/>
        <w:gridCol w:w="4610"/>
        <w:gridCol w:w="4610"/>
      </w:tblGrid>
      <w:tr w:rsidR="00813CB8" w:rsidRPr="00312B84" w14:paraId="6EB36A7B" w14:textId="77777777">
        <w:trPr>
          <w:cantSplit/>
          <w:tblHeader/>
        </w:trPr>
        <w:tc>
          <w:tcPr>
            <w:tcW w:w="1024" w:type="dxa"/>
            <w:shd w:val="clear" w:color="auto" w:fill="1F3B5B"/>
            <w:tcMar>
              <w:top w:w="90" w:type="dxa"/>
              <w:left w:w="120" w:type="dxa"/>
              <w:bottom w:w="90" w:type="dxa"/>
              <w:right w:w="120" w:type="dxa"/>
            </w:tcMar>
            <w:vAlign w:val="center"/>
          </w:tcPr>
          <w:p w14:paraId="6EB36A78" w14:textId="77777777" w:rsidR="00813CB8" w:rsidRPr="00312B84" w:rsidRDefault="00813CB8">
            <w:pPr>
              <w:spacing w:after="40"/>
              <w:rPr>
                <w:sz w:val="20"/>
                <w:szCs w:val="20"/>
              </w:rPr>
            </w:pPr>
          </w:p>
        </w:tc>
        <w:tc>
          <w:tcPr>
            <w:tcW w:w="4610" w:type="dxa"/>
            <w:shd w:val="clear" w:color="auto" w:fill="1F3B5B"/>
            <w:tcMar>
              <w:top w:w="90" w:type="dxa"/>
              <w:left w:w="120" w:type="dxa"/>
              <w:bottom w:w="90" w:type="dxa"/>
              <w:right w:w="120" w:type="dxa"/>
            </w:tcMar>
            <w:vAlign w:val="center"/>
          </w:tcPr>
          <w:p w14:paraId="6EB36A79" w14:textId="77777777" w:rsidR="00813CB8" w:rsidRPr="00312B84" w:rsidRDefault="002B4BED">
            <w:pPr>
              <w:spacing w:after="40"/>
              <w:jc w:val="center"/>
              <w:rPr>
                <w:sz w:val="20"/>
                <w:szCs w:val="20"/>
              </w:rPr>
            </w:pPr>
            <w:r w:rsidRPr="00312B84">
              <w:rPr>
                <w:rFonts w:ascii="Arial" w:eastAsia="Arial" w:hAnsi="Arial" w:cs="Arial"/>
                <w:b/>
                <w:bCs/>
                <w:color w:val="FFFFFF"/>
                <w:sz w:val="20"/>
                <w:szCs w:val="20"/>
              </w:rPr>
              <w:t>CRM — Salesforce, FY27Q1 call May 27</w:t>
            </w:r>
          </w:p>
        </w:tc>
        <w:tc>
          <w:tcPr>
            <w:tcW w:w="4610" w:type="dxa"/>
            <w:shd w:val="clear" w:color="auto" w:fill="1F3B5B"/>
            <w:tcMar>
              <w:top w:w="90" w:type="dxa"/>
              <w:left w:w="120" w:type="dxa"/>
              <w:bottom w:w="90" w:type="dxa"/>
              <w:right w:w="120" w:type="dxa"/>
            </w:tcMar>
            <w:vAlign w:val="center"/>
          </w:tcPr>
          <w:p w14:paraId="6EB36A7A" w14:textId="77777777" w:rsidR="00813CB8" w:rsidRPr="00312B84" w:rsidRDefault="002B4BED">
            <w:pPr>
              <w:spacing w:after="40"/>
              <w:jc w:val="center"/>
              <w:rPr>
                <w:sz w:val="20"/>
                <w:szCs w:val="20"/>
              </w:rPr>
            </w:pPr>
            <w:r w:rsidRPr="00312B84">
              <w:rPr>
                <w:rFonts w:ascii="Arial" w:eastAsia="Arial" w:hAnsi="Arial" w:cs="Arial"/>
                <w:b/>
                <w:bCs/>
                <w:color w:val="FFFFFF"/>
                <w:sz w:val="20"/>
                <w:szCs w:val="20"/>
              </w:rPr>
              <w:t>NOW — ServiceNow, CY26Q1 call Apr 22</w:t>
            </w:r>
          </w:p>
        </w:tc>
      </w:tr>
      <w:tr w:rsidR="00813CB8" w:rsidRPr="00312B84" w14:paraId="6EB36A7F" w14:textId="77777777">
        <w:trPr>
          <w:cantSplit/>
        </w:trPr>
        <w:tc>
          <w:tcPr>
            <w:tcW w:w="1024" w:type="dxa"/>
            <w:shd w:val="clear" w:color="auto" w:fill="EEF2F6"/>
            <w:tcMar>
              <w:top w:w="90" w:type="dxa"/>
              <w:left w:w="120" w:type="dxa"/>
              <w:bottom w:w="90" w:type="dxa"/>
              <w:right w:w="120" w:type="dxa"/>
            </w:tcMar>
            <w:vAlign w:val="center"/>
          </w:tcPr>
          <w:p w14:paraId="6EB36A7C" w14:textId="77777777" w:rsidR="00813CB8" w:rsidRPr="00312B84" w:rsidRDefault="002B4BED">
            <w:pPr>
              <w:spacing w:after="40"/>
              <w:rPr>
                <w:sz w:val="20"/>
                <w:szCs w:val="20"/>
              </w:rPr>
            </w:pPr>
            <w:r w:rsidRPr="00312B84">
              <w:rPr>
                <w:rFonts w:ascii="Arial" w:eastAsia="Arial" w:hAnsi="Arial" w:cs="Arial"/>
                <w:b/>
                <w:bCs/>
                <w:color w:val="22303C"/>
                <w:sz w:val="20"/>
                <w:szCs w:val="20"/>
              </w:rPr>
              <w:t>View</w:t>
            </w:r>
          </w:p>
        </w:tc>
        <w:tc>
          <w:tcPr>
            <w:tcW w:w="4610" w:type="dxa"/>
            <w:tcMar>
              <w:top w:w="90" w:type="dxa"/>
              <w:left w:w="120" w:type="dxa"/>
              <w:bottom w:w="90" w:type="dxa"/>
              <w:right w:w="120" w:type="dxa"/>
            </w:tcMar>
            <w:vAlign w:val="center"/>
          </w:tcPr>
          <w:p w14:paraId="6EB36A7D" w14:textId="77777777" w:rsidR="00813CB8" w:rsidRPr="00312B84" w:rsidRDefault="002B4BED">
            <w:pPr>
              <w:spacing w:after="40"/>
              <w:rPr>
                <w:sz w:val="20"/>
                <w:szCs w:val="20"/>
              </w:rPr>
            </w:pPr>
            <w:r w:rsidRPr="00312B84">
              <w:rPr>
                <w:rFonts w:ascii="Arial" w:eastAsia="Arial" w:hAnsi="Arial" w:cs="Arial"/>
                <w:color w:val="22303C"/>
                <w:sz w:val="20"/>
                <w:szCs w:val="20"/>
              </w:rPr>
              <w:t>Pivot to offense — usage exploding ahead of reported revenue</w:t>
            </w:r>
          </w:p>
        </w:tc>
        <w:tc>
          <w:tcPr>
            <w:tcW w:w="4610" w:type="dxa"/>
            <w:tcMar>
              <w:top w:w="90" w:type="dxa"/>
              <w:left w:w="120" w:type="dxa"/>
              <w:bottom w:w="90" w:type="dxa"/>
              <w:right w:w="120" w:type="dxa"/>
            </w:tcMar>
            <w:vAlign w:val="center"/>
          </w:tcPr>
          <w:p w14:paraId="6EB36A7E" w14:textId="77777777" w:rsidR="00813CB8" w:rsidRPr="00312B84" w:rsidRDefault="002B4BED">
            <w:pPr>
              <w:spacing w:after="40"/>
              <w:rPr>
                <w:sz w:val="20"/>
                <w:szCs w:val="20"/>
              </w:rPr>
            </w:pPr>
            <w:r w:rsidRPr="00312B84">
              <w:rPr>
                <w:rFonts w:ascii="Arial" w:eastAsia="Arial" w:hAnsi="Arial" w:cs="Arial"/>
                <w:color w:val="22303C"/>
                <w:sz w:val="20"/>
                <w:szCs w:val="20"/>
              </w:rPr>
              <w:t>Offense — the governance and control-tower layer monetizing early</w:t>
            </w:r>
          </w:p>
        </w:tc>
      </w:tr>
      <w:tr w:rsidR="00813CB8" w:rsidRPr="00312B84" w14:paraId="6EB36A89" w14:textId="77777777">
        <w:trPr>
          <w:cantSplit/>
        </w:trPr>
        <w:tc>
          <w:tcPr>
            <w:tcW w:w="1024" w:type="dxa"/>
            <w:shd w:val="clear" w:color="auto" w:fill="EEF2F6"/>
            <w:tcMar>
              <w:top w:w="90" w:type="dxa"/>
              <w:left w:w="120" w:type="dxa"/>
              <w:bottom w:w="90" w:type="dxa"/>
              <w:right w:w="120" w:type="dxa"/>
            </w:tcMar>
            <w:vAlign w:val="center"/>
          </w:tcPr>
          <w:p w14:paraId="6EB36A80" w14:textId="77777777" w:rsidR="00813CB8" w:rsidRPr="00312B84" w:rsidRDefault="002B4BED">
            <w:pPr>
              <w:spacing w:after="40"/>
              <w:rPr>
                <w:sz w:val="20"/>
                <w:szCs w:val="20"/>
              </w:rPr>
            </w:pPr>
            <w:r w:rsidRPr="00312B84">
              <w:rPr>
                <w:rFonts w:ascii="Arial" w:eastAsia="Arial" w:hAnsi="Arial" w:cs="Arial"/>
                <w:b/>
                <w:bCs/>
                <w:color w:val="22303C"/>
                <w:sz w:val="20"/>
                <w:szCs w:val="20"/>
              </w:rPr>
              <w:t>Key points</w:t>
            </w:r>
          </w:p>
        </w:tc>
        <w:tc>
          <w:tcPr>
            <w:tcW w:w="4610" w:type="dxa"/>
            <w:tcMar>
              <w:top w:w="90" w:type="dxa"/>
              <w:left w:w="120" w:type="dxa"/>
              <w:bottom w:w="90" w:type="dxa"/>
              <w:right w:w="120" w:type="dxa"/>
            </w:tcMar>
            <w:vAlign w:val="center"/>
          </w:tcPr>
          <w:p w14:paraId="6EB36A81" w14:textId="77777777" w:rsidR="00813CB8" w:rsidRPr="00312B84" w:rsidRDefault="002B4BED">
            <w:pPr>
              <w:spacing w:after="40"/>
              <w:rPr>
                <w:sz w:val="20"/>
                <w:szCs w:val="20"/>
              </w:rPr>
            </w:pPr>
            <w:r w:rsidRPr="00312B84">
              <w:rPr>
                <w:rFonts w:ascii="Arial" w:eastAsia="Arial" w:hAnsi="Arial" w:cs="Arial"/>
                <w:color w:val="22303C"/>
                <w:sz w:val="20"/>
                <w:szCs w:val="20"/>
              </w:rPr>
              <w:t>•  Agentforce ARR passed $1bn; 28.6tn tokens processed, +152% q/q; agentic work units +111% q/q</w:t>
            </w:r>
          </w:p>
          <w:p w14:paraId="6EB36A82" w14:textId="77777777" w:rsidR="00813CB8" w:rsidRPr="00312B84" w:rsidRDefault="002B4BED">
            <w:pPr>
              <w:spacing w:after="40"/>
              <w:rPr>
                <w:sz w:val="20"/>
                <w:szCs w:val="20"/>
              </w:rPr>
            </w:pPr>
            <w:r w:rsidRPr="00312B84">
              <w:rPr>
                <w:rFonts w:ascii="Arial" w:eastAsia="Arial" w:hAnsi="Arial" w:cs="Arial"/>
                <w:color w:val="22303C"/>
                <w:sz w:val="20"/>
                <w:szCs w:val="20"/>
              </w:rPr>
              <w:t>•  Three levers with seats still growing: premium-SKU bookings +60% y/y, seven of the top ten deals added net-new human seats, consumption flex credits</w:t>
            </w:r>
          </w:p>
          <w:p w14:paraId="6EB36A83" w14:textId="77777777" w:rsidR="00813CB8" w:rsidRPr="00312B84" w:rsidRDefault="002B4BED">
            <w:pPr>
              <w:spacing w:after="40"/>
              <w:rPr>
                <w:sz w:val="20"/>
                <w:szCs w:val="20"/>
              </w:rPr>
            </w:pPr>
            <w:r w:rsidRPr="00312B84">
              <w:rPr>
                <w:rFonts w:ascii="Arial" w:eastAsia="Arial" w:hAnsi="Arial" w:cs="Arial"/>
                <w:color w:val="22303C"/>
                <w:sz w:val="20"/>
                <w:szCs w:val="20"/>
              </w:rPr>
              <w:t>•  Headless 360 exposes everything as API and MCP — 4.5mm MCP calls in two months; management admits headless pricing is not yet settled</w:t>
            </w:r>
          </w:p>
          <w:p w14:paraId="6EB36A84" w14:textId="77777777" w:rsidR="00813CB8" w:rsidRPr="00312B84" w:rsidRDefault="002B4BED">
            <w:pPr>
              <w:spacing w:after="40"/>
              <w:rPr>
                <w:sz w:val="20"/>
                <w:szCs w:val="20"/>
              </w:rPr>
            </w:pPr>
            <w:r w:rsidRPr="00312B84">
              <w:rPr>
                <w:rFonts w:ascii="Arial" w:eastAsia="Arial" w:hAnsi="Arial" w:cs="Arial"/>
                <w:color w:val="22303C"/>
                <w:sz w:val="20"/>
                <w:szCs w:val="20"/>
              </w:rPr>
              <w:t>•  Reality check: revenue +12% cc with marketing, commerce and Tableau still weak — the agentic metrics run ahead of reported growth</w:t>
            </w:r>
          </w:p>
        </w:tc>
        <w:tc>
          <w:tcPr>
            <w:tcW w:w="4610" w:type="dxa"/>
            <w:tcMar>
              <w:top w:w="90" w:type="dxa"/>
              <w:left w:w="120" w:type="dxa"/>
              <w:bottom w:w="90" w:type="dxa"/>
              <w:right w:w="120" w:type="dxa"/>
            </w:tcMar>
            <w:vAlign w:val="center"/>
          </w:tcPr>
          <w:p w14:paraId="6EB36A85" w14:textId="77777777" w:rsidR="00813CB8" w:rsidRPr="00312B84" w:rsidRDefault="002B4BED">
            <w:pPr>
              <w:spacing w:after="40"/>
              <w:rPr>
                <w:sz w:val="20"/>
                <w:szCs w:val="20"/>
              </w:rPr>
            </w:pPr>
            <w:r w:rsidRPr="00312B84">
              <w:rPr>
                <w:rFonts w:ascii="Arial" w:eastAsia="Arial" w:hAnsi="Arial" w:cs="Arial"/>
                <w:color w:val="22303C"/>
                <w:sz w:val="20"/>
                <w:szCs w:val="20"/>
              </w:rPr>
              <w:t>•  2026 AI-commitment target raised 50% to $1.5bn; the whole portfolio made AI-native rather than sidecar-priced</w:t>
            </w:r>
          </w:p>
          <w:p w14:paraId="6EB36A86" w14:textId="77777777" w:rsidR="00813CB8" w:rsidRPr="00312B84" w:rsidRDefault="002B4BED">
            <w:pPr>
              <w:spacing w:after="40"/>
              <w:rPr>
                <w:sz w:val="20"/>
                <w:szCs w:val="20"/>
              </w:rPr>
            </w:pPr>
            <w:r w:rsidRPr="00312B84">
              <w:rPr>
                <w:rFonts w:ascii="Arial" w:eastAsia="Arial" w:hAnsi="Arial" w:cs="Arial"/>
                <w:color w:val="22303C"/>
                <w:sz w:val="20"/>
                <w:szCs w:val="20"/>
              </w:rPr>
              <w:t>•  50% of net-new business is now non-seat-based — tokens, connectors and other assets; seat-productivity losses offset by consumption upside</w:t>
            </w:r>
          </w:p>
          <w:p w14:paraId="6EB36A87" w14:textId="77777777" w:rsidR="00813CB8" w:rsidRPr="00312B84" w:rsidRDefault="002B4BED">
            <w:pPr>
              <w:spacing w:after="40"/>
              <w:rPr>
                <w:sz w:val="20"/>
                <w:szCs w:val="20"/>
              </w:rPr>
            </w:pPr>
            <w:r w:rsidRPr="00312B84">
              <w:rPr>
                <w:rFonts w:ascii="Arial" w:eastAsia="Arial" w:hAnsi="Arial" w:cs="Arial"/>
                <w:color w:val="22303C"/>
                <w:sz w:val="20"/>
                <w:szCs w:val="20"/>
              </w:rPr>
              <w:t>•  Differentiation framed as context, not model IQ: AI control-tower deal sizes doubled q/q on a platform trained on 95bn annual workflows</w:t>
            </w:r>
          </w:p>
          <w:p w14:paraId="6EB36A88" w14:textId="77777777" w:rsidR="00813CB8" w:rsidRPr="00312B84" w:rsidRDefault="002B4BED">
            <w:pPr>
              <w:spacing w:after="40"/>
              <w:rPr>
                <w:sz w:val="20"/>
                <w:szCs w:val="20"/>
              </w:rPr>
            </w:pPr>
            <w:r w:rsidRPr="00312B84">
              <w:rPr>
                <w:rFonts w:ascii="Arial" w:eastAsia="Arial" w:hAnsi="Arial" w:cs="Arial"/>
                <w:color w:val="22303C"/>
                <w:sz w:val="20"/>
                <w:szCs w:val="20"/>
              </w:rPr>
              <w:t>•  Subscription revenue +19% cc, RPO $27.7bn +23.5% cc, renewal rate 97% — the core is not yet showing AI cannibalization</w:t>
            </w:r>
          </w:p>
        </w:tc>
      </w:tr>
    </w:tbl>
    <w:p w14:paraId="6EB36A8A" w14:textId="77777777" w:rsidR="00813CB8" w:rsidRPr="00312B84" w:rsidRDefault="002B4BED">
      <w:pPr>
        <w:spacing w:after="200"/>
        <w:ind w:left="200"/>
        <w:rPr>
          <w:sz w:val="24"/>
          <w:szCs w:val="24"/>
        </w:rPr>
      </w:pPr>
      <w:r w:rsidRPr="00312B84">
        <w:rPr>
          <w:rFonts w:ascii="Arial" w:eastAsia="Arial" w:hAnsi="Arial" w:cs="Arial"/>
          <w:i/>
          <w:iCs/>
          <w:color w:val="5A6B7B"/>
          <w:sz w:val="13"/>
          <w:szCs w:val="13"/>
        </w:rPr>
        <w:t>Stance labels and points from each company's most recent earnings-call transcript on file. Source: MSFT, ORCL, CRM, NOW earnings calls, April–June 2026</w:t>
      </w:r>
    </w:p>
    <w:p w14:paraId="6EB36A8B" w14:textId="77777777" w:rsidR="00813CB8" w:rsidRPr="00312B84" w:rsidRDefault="002B4BED">
      <w:pPr>
        <w:spacing w:before="160" w:after="80"/>
        <w:ind w:left="200"/>
        <w:rPr>
          <w:sz w:val="24"/>
          <w:szCs w:val="24"/>
        </w:rPr>
      </w:pPr>
      <w:r w:rsidRPr="00312B84">
        <w:rPr>
          <w:rFonts w:eastAsia="Calibri Light"/>
          <w:b/>
          <w:bCs/>
          <w:color w:val="1C3660"/>
          <w:sz w:val="24"/>
          <w:szCs w:val="24"/>
        </w:rPr>
        <w:t>Market consensus &amp; key focus</w:t>
      </w:r>
    </w:p>
    <w:p w14:paraId="14A20B84" w14:textId="77777777" w:rsidR="005A7589" w:rsidRPr="00312B84" w:rsidRDefault="005A7589" w:rsidP="005A7589">
      <w:pPr>
        <w:spacing w:after="120"/>
        <w:ind w:left="200"/>
        <w:jc w:val="both"/>
        <w:rPr>
          <w:b/>
          <w:sz w:val="24"/>
          <w:szCs w:val="24"/>
        </w:rPr>
      </w:pPr>
      <w:r w:rsidRPr="00312B84">
        <w:rPr>
          <w:b/>
          <w:sz w:val="24"/>
          <w:szCs w:val="24"/>
        </w:rPr>
        <w:t>Market consensus</w:t>
      </w:r>
    </w:p>
    <w:p w14:paraId="1DBA3F76" w14:textId="77777777" w:rsidR="005A7589" w:rsidRPr="00312B84" w:rsidRDefault="005A7589" w:rsidP="005A7589">
      <w:pPr>
        <w:pStyle w:val="a4"/>
        <w:numPr>
          <w:ilvl w:val="0"/>
          <w:numId w:val="2"/>
        </w:numPr>
        <w:spacing w:after="100"/>
        <w:jc w:val="both"/>
        <w:rPr>
          <w:rFonts w:eastAsia="Calibri Light"/>
          <w:color w:val="000000"/>
          <w:sz w:val="24"/>
          <w:szCs w:val="24"/>
        </w:rPr>
      </w:pPr>
      <w:r w:rsidRPr="00312B84">
        <w:rPr>
          <w:rFonts w:eastAsia="Calibri Light"/>
          <w:color w:val="000000"/>
          <w:sz w:val="24"/>
          <w:szCs w:val="24"/>
        </w:rPr>
        <w:t>AI’s net impact on software is highly differentiated, not wholesale disruption — value extracted from the record/application layer accrues to the data/platform, orchestration/intelligence and infrastructure layers; brokers and companies agree (GS, UBS, BofA; company calls).</w:t>
      </w:r>
    </w:p>
    <w:p w14:paraId="532D03FD" w14:textId="77777777" w:rsidR="005A7589" w:rsidRPr="00312B84" w:rsidRDefault="005A7589" w:rsidP="005A7589">
      <w:pPr>
        <w:pStyle w:val="a4"/>
        <w:numPr>
          <w:ilvl w:val="0"/>
          <w:numId w:val="2"/>
        </w:numPr>
        <w:spacing w:after="100"/>
        <w:jc w:val="both"/>
        <w:rPr>
          <w:rFonts w:eastAsia="Calibri Light"/>
          <w:color w:val="000000"/>
          <w:sz w:val="24"/>
          <w:szCs w:val="24"/>
        </w:rPr>
      </w:pPr>
      <w:r w:rsidRPr="00312B84">
        <w:rPr>
          <w:sz w:val="24"/>
          <w:szCs w:val="24"/>
        </w:rPr>
        <w:t>Seat-to-hybrid monetization (seat + consumption / outcome-based) is the consensus path and already ~half of net-new business at leading platforms; but the transition is long and buyers resist double charging (BofA; UBS; company disclosures).</w:t>
      </w:r>
    </w:p>
    <w:p w14:paraId="1DF9A47B" w14:textId="77777777" w:rsidR="005A7589" w:rsidRPr="00312B84" w:rsidRDefault="005A7589" w:rsidP="005A7589">
      <w:pPr>
        <w:pStyle w:val="a4"/>
        <w:numPr>
          <w:ilvl w:val="0"/>
          <w:numId w:val="2"/>
        </w:numPr>
        <w:spacing w:after="100"/>
        <w:jc w:val="both"/>
        <w:rPr>
          <w:rFonts w:eastAsia="Calibri Light"/>
          <w:color w:val="000000"/>
          <w:sz w:val="24"/>
          <w:szCs w:val="24"/>
        </w:rPr>
      </w:pPr>
      <w:r w:rsidRPr="00312B84">
        <w:rPr>
          <w:sz w:val="24"/>
          <w:szCs w:val="24"/>
        </w:rPr>
        <w:t>The moat test has shifted from “is it sticky” to “what kind of sticky” — data assets, workflow depth and context layers are durable; system-of-record front-office software held together only by switching costs is most fragile (GS).</w:t>
      </w:r>
    </w:p>
    <w:p w14:paraId="6A8C1B5B" w14:textId="77777777" w:rsidR="005A7589" w:rsidRPr="00312B84" w:rsidRDefault="005A7589" w:rsidP="005A7589">
      <w:pPr>
        <w:pStyle w:val="a4"/>
        <w:numPr>
          <w:ilvl w:val="0"/>
          <w:numId w:val="2"/>
        </w:numPr>
        <w:spacing w:after="100"/>
        <w:jc w:val="both"/>
        <w:rPr>
          <w:rFonts w:eastAsia="Calibri Light"/>
          <w:color w:val="000000"/>
          <w:sz w:val="24"/>
          <w:szCs w:val="24"/>
        </w:rPr>
      </w:pPr>
      <w:r w:rsidRPr="00312B84">
        <w:rPr>
          <w:sz w:val="24"/>
          <w:szCs w:val="24"/>
        </w:rPr>
        <w:t>Infrastructure and security software are the most direct AI-demand beneficiaries and the most defensive; the application/record layer faces the heaviest pressure (UBS; BofA).</w:t>
      </w:r>
    </w:p>
    <w:p w14:paraId="6EB36A8D" w14:textId="18C0B431" w:rsidR="00813CB8" w:rsidRPr="00312B84" w:rsidRDefault="005A7589" w:rsidP="005A7589">
      <w:pPr>
        <w:pStyle w:val="a4"/>
        <w:numPr>
          <w:ilvl w:val="0"/>
          <w:numId w:val="2"/>
        </w:numPr>
        <w:spacing w:after="100"/>
        <w:jc w:val="both"/>
        <w:rPr>
          <w:rFonts w:eastAsia="Calibri Light"/>
          <w:color w:val="000000"/>
          <w:sz w:val="24"/>
          <w:szCs w:val="24"/>
        </w:rPr>
      </w:pPr>
      <w:r w:rsidRPr="00312B84">
        <w:rPr>
          <w:sz w:val="24"/>
          <w:szCs w:val="24"/>
        </w:rPr>
        <w:lastRenderedPageBreak/>
        <w:t>Agentic AI opens incremental TAM in cross-system coordination labor and agent-native applications, rather than merely cannibalizing existing SaaS (GS).</w:t>
      </w:r>
      <w:r w:rsidR="001B7FE8" w:rsidRPr="00312B84">
        <w:rPr>
          <w:rFonts w:hint="eastAsia"/>
          <w:sz w:val="24"/>
          <w:szCs w:val="24"/>
        </w:rPr>
        <w:t xml:space="preserve"> </w:t>
      </w:r>
    </w:p>
    <w:p w14:paraId="0CFF46A1" w14:textId="77777777" w:rsidR="001B7FE8" w:rsidRPr="00312B84" w:rsidRDefault="001B7FE8" w:rsidP="001B7FE8">
      <w:pPr>
        <w:spacing w:after="100"/>
        <w:jc w:val="both"/>
        <w:rPr>
          <w:color w:val="000000"/>
          <w:sz w:val="24"/>
          <w:szCs w:val="24"/>
        </w:rPr>
      </w:pPr>
    </w:p>
    <w:p w14:paraId="6C599397" w14:textId="77777777" w:rsidR="001B7FE8" w:rsidRPr="00312B84" w:rsidRDefault="001B7FE8" w:rsidP="001B7FE8">
      <w:pPr>
        <w:spacing w:after="120"/>
        <w:ind w:left="200"/>
        <w:jc w:val="both"/>
        <w:rPr>
          <w:b/>
          <w:sz w:val="24"/>
          <w:szCs w:val="24"/>
        </w:rPr>
      </w:pPr>
      <w:r w:rsidRPr="00312B84">
        <w:rPr>
          <w:b/>
          <w:sz w:val="24"/>
          <w:szCs w:val="24"/>
        </w:rPr>
        <w:t>Key focus / key debate</w:t>
      </w:r>
    </w:p>
    <w:tbl>
      <w:tblPr>
        <w:tblW w:w="10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6"/>
        <w:gridCol w:w="2830"/>
        <w:gridCol w:w="2830"/>
        <w:gridCol w:w="2438"/>
      </w:tblGrid>
      <w:tr w:rsidR="001B7FE8" w:rsidRPr="00312B84" w14:paraId="3F59D345" w14:textId="77777777" w:rsidTr="001B7FE8">
        <w:trPr>
          <w:trHeight w:val="312"/>
          <w:tblHeader/>
        </w:trPr>
        <w:tc>
          <w:tcPr>
            <w:tcW w:w="2146" w:type="dxa"/>
            <w:tcBorders>
              <w:top w:val="single" w:sz="4" w:space="0" w:color="D0D0D0"/>
              <w:left w:val="single" w:sz="4" w:space="0" w:color="D0D0D0"/>
              <w:bottom w:val="single" w:sz="4" w:space="0" w:color="D0D0D0"/>
              <w:right w:val="single" w:sz="4" w:space="0" w:color="D0D0D0"/>
            </w:tcBorders>
            <w:shd w:val="clear" w:color="auto" w:fill="1F3864"/>
            <w:tcMar>
              <w:top w:w="60" w:type="dxa"/>
              <w:left w:w="80" w:type="dxa"/>
              <w:bottom w:w="60" w:type="dxa"/>
              <w:right w:w="80" w:type="dxa"/>
            </w:tcMar>
            <w:vAlign w:val="center"/>
          </w:tcPr>
          <w:p w14:paraId="43800270" w14:textId="77777777" w:rsidR="001B7FE8" w:rsidRPr="00312B84" w:rsidRDefault="001B7FE8">
            <w:pPr>
              <w:rPr>
                <w:sz w:val="22"/>
                <w:szCs w:val="22"/>
              </w:rPr>
            </w:pPr>
            <w:r w:rsidRPr="00312B84">
              <w:rPr>
                <w:rFonts w:eastAsia="Calibri"/>
                <w:b/>
                <w:bCs/>
                <w:color w:val="FFFFFF"/>
                <w:sz w:val="22"/>
                <w:szCs w:val="22"/>
              </w:rPr>
              <w:t>Debate</w:t>
            </w:r>
          </w:p>
        </w:tc>
        <w:tc>
          <w:tcPr>
            <w:tcW w:w="2830" w:type="dxa"/>
            <w:tcBorders>
              <w:top w:val="single" w:sz="4" w:space="0" w:color="D0D0D0"/>
              <w:left w:val="single" w:sz="4" w:space="0" w:color="D0D0D0"/>
              <w:bottom w:val="single" w:sz="4" w:space="0" w:color="D0D0D0"/>
              <w:right w:val="single" w:sz="4" w:space="0" w:color="D0D0D0"/>
            </w:tcBorders>
            <w:shd w:val="clear" w:color="auto" w:fill="1F3864"/>
            <w:tcMar>
              <w:top w:w="60" w:type="dxa"/>
              <w:left w:w="80" w:type="dxa"/>
              <w:bottom w:w="60" w:type="dxa"/>
              <w:right w:w="80" w:type="dxa"/>
            </w:tcMar>
            <w:vAlign w:val="center"/>
          </w:tcPr>
          <w:p w14:paraId="20EA62D3" w14:textId="77777777" w:rsidR="001B7FE8" w:rsidRPr="00312B84" w:rsidRDefault="001B7FE8">
            <w:pPr>
              <w:rPr>
                <w:sz w:val="22"/>
                <w:szCs w:val="22"/>
              </w:rPr>
            </w:pPr>
            <w:r w:rsidRPr="00312B84">
              <w:rPr>
                <w:rFonts w:eastAsia="Calibri"/>
                <w:b/>
                <w:bCs/>
                <w:color w:val="FFFFFF"/>
                <w:sz w:val="22"/>
                <w:szCs w:val="22"/>
              </w:rPr>
              <w:t>Broker stance</w:t>
            </w:r>
          </w:p>
        </w:tc>
        <w:tc>
          <w:tcPr>
            <w:tcW w:w="2830" w:type="dxa"/>
            <w:tcBorders>
              <w:top w:val="single" w:sz="4" w:space="0" w:color="D0D0D0"/>
              <w:left w:val="single" w:sz="4" w:space="0" w:color="D0D0D0"/>
              <w:bottom w:val="single" w:sz="4" w:space="0" w:color="D0D0D0"/>
              <w:right w:val="single" w:sz="4" w:space="0" w:color="D0D0D0"/>
            </w:tcBorders>
            <w:shd w:val="clear" w:color="auto" w:fill="1F3864"/>
            <w:tcMar>
              <w:top w:w="60" w:type="dxa"/>
              <w:left w:w="80" w:type="dxa"/>
              <w:bottom w:w="60" w:type="dxa"/>
              <w:right w:w="80" w:type="dxa"/>
            </w:tcMar>
            <w:vAlign w:val="center"/>
          </w:tcPr>
          <w:p w14:paraId="5ADDEDDA" w14:textId="77777777" w:rsidR="001B7FE8" w:rsidRPr="00312B84" w:rsidRDefault="001B7FE8">
            <w:pPr>
              <w:rPr>
                <w:sz w:val="22"/>
                <w:szCs w:val="22"/>
              </w:rPr>
            </w:pPr>
            <w:r w:rsidRPr="00312B84">
              <w:rPr>
                <w:rFonts w:eastAsia="Calibri"/>
                <w:b/>
                <w:bCs/>
                <w:color w:val="FFFFFF"/>
                <w:sz w:val="22"/>
                <w:szCs w:val="22"/>
              </w:rPr>
              <w:t>Software-company stance</w:t>
            </w:r>
          </w:p>
        </w:tc>
        <w:tc>
          <w:tcPr>
            <w:tcW w:w="2438" w:type="dxa"/>
            <w:tcBorders>
              <w:top w:val="single" w:sz="4" w:space="0" w:color="D0D0D0"/>
              <w:left w:val="single" w:sz="4" w:space="0" w:color="D0D0D0"/>
              <w:bottom w:val="single" w:sz="4" w:space="0" w:color="D0D0D0"/>
              <w:right w:val="single" w:sz="4" w:space="0" w:color="D0D0D0"/>
            </w:tcBorders>
            <w:shd w:val="clear" w:color="auto" w:fill="1F3864"/>
            <w:tcMar>
              <w:top w:w="60" w:type="dxa"/>
              <w:left w:w="80" w:type="dxa"/>
              <w:bottom w:w="60" w:type="dxa"/>
              <w:right w:w="80" w:type="dxa"/>
            </w:tcMar>
            <w:vAlign w:val="center"/>
          </w:tcPr>
          <w:p w14:paraId="0EFA9CB0" w14:textId="77777777" w:rsidR="001B7FE8" w:rsidRPr="00312B84" w:rsidRDefault="001B7FE8">
            <w:pPr>
              <w:rPr>
                <w:sz w:val="22"/>
                <w:szCs w:val="22"/>
              </w:rPr>
            </w:pPr>
            <w:r w:rsidRPr="00312B84">
              <w:rPr>
                <w:rFonts w:eastAsia="Calibri"/>
                <w:b/>
                <w:bCs/>
                <w:color w:val="FFFFFF"/>
                <w:sz w:val="22"/>
                <w:szCs w:val="22"/>
              </w:rPr>
              <w:t>Core of the disagreement</w:t>
            </w:r>
          </w:p>
        </w:tc>
      </w:tr>
      <w:tr w:rsidR="001B7FE8" w:rsidRPr="00312B84" w14:paraId="3E781820" w14:textId="77777777" w:rsidTr="001B7FE8">
        <w:trPr>
          <w:trHeight w:val="940"/>
        </w:trPr>
        <w:tc>
          <w:tcPr>
            <w:tcW w:w="2146" w:type="dxa"/>
            <w:tcBorders>
              <w:top w:val="single" w:sz="4" w:space="0" w:color="D0D0D0"/>
              <w:left w:val="single" w:sz="4" w:space="0" w:color="D0D0D0"/>
              <w:bottom w:val="single" w:sz="4" w:space="0" w:color="D0D0D0"/>
              <w:right w:val="single" w:sz="4" w:space="0" w:color="D0D0D0"/>
            </w:tcBorders>
            <w:tcMar>
              <w:top w:w="50" w:type="dxa"/>
              <w:left w:w="80" w:type="dxa"/>
              <w:bottom w:w="50" w:type="dxa"/>
              <w:right w:w="80" w:type="dxa"/>
            </w:tcMar>
          </w:tcPr>
          <w:p w14:paraId="740AD4E8" w14:textId="77777777" w:rsidR="001B7FE8" w:rsidRPr="00312B84" w:rsidRDefault="001B7FE8">
            <w:pPr>
              <w:spacing w:after="40"/>
              <w:rPr>
                <w:sz w:val="22"/>
                <w:szCs w:val="22"/>
              </w:rPr>
            </w:pPr>
            <w:r w:rsidRPr="00312B84">
              <w:rPr>
                <w:rFonts w:eastAsia="Calibri"/>
                <w:b/>
                <w:bCs/>
                <w:color w:val="000000"/>
                <w:sz w:val="22"/>
                <w:szCs w:val="22"/>
              </w:rPr>
              <w:t>Application-layer SaaS outlook</w:t>
            </w:r>
          </w:p>
        </w:tc>
        <w:tc>
          <w:tcPr>
            <w:tcW w:w="2830" w:type="dxa"/>
            <w:tcBorders>
              <w:top w:val="single" w:sz="4" w:space="0" w:color="D0D0D0"/>
              <w:left w:val="single" w:sz="4" w:space="0" w:color="D0D0D0"/>
              <w:bottom w:val="single" w:sz="4" w:space="0" w:color="D0D0D0"/>
              <w:right w:val="single" w:sz="4" w:space="0" w:color="D0D0D0"/>
            </w:tcBorders>
            <w:tcMar>
              <w:top w:w="50" w:type="dxa"/>
              <w:left w:w="80" w:type="dxa"/>
              <w:bottom w:w="50" w:type="dxa"/>
              <w:right w:w="80" w:type="dxa"/>
            </w:tcMar>
          </w:tcPr>
          <w:p w14:paraId="5E96B620" w14:textId="77777777" w:rsidR="001B7FE8" w:rsidRPr="00312B84" w:rsidRDefault="001B7FE8">
            <w:pPr>
              <w:spacing w:after="40"/>
              <w:rPr>
                <w:sz w:val="22"/>
                <w:szCs w:val="22"/>
              </w:rPr>
            </w:pPr>
            <w:r w:rsidRPr="00312B84">
              <w:rPr>
                <w:rFonts w:eastAsia="Calibri"/>
                <w:color w:val="000000"/>
                <w:sz w:val="22"/>
                <w:szCs w:val="22"/>
              </w:rPr>
              <w:t>System-of-record SaaS has value extracted; bad stickiness eroded.</w:t>
            </w:r>
          </w:p>
        </w:tc>
        <w:tc>
          <w:tcPr>
            <w:tcW w:w="2830" w:type="dxa"/>
            <w:tcBorders>
              <w:top w:val="single" w:sz="4" w:space="0" w:color="D0D0D0"/>
              <w:left w:val="single" w:sz="4" w:space="0" w:color="D0D0D0"/>
              <w:bottom w:val="single" w:sz="4" w:space="0" w:color="D0D0D0"/>
              <w:right w:val="single" w:sz="4" w:space="0" w:color="D0D0D0"/>
            </w:tcBorders>
            <w:tcMar>
              <w:top w:w="50" w:type="dxa"/>
              <w:left w:w="80" w:type="dxa"/>
              <w:bottom w:w="50" w:type="dxa"/>
              <w:right w:w="80" w:type="dxa"/>
            </w:tcMar>
          </w:tcPr>
          <w:p w14:paraId="56D5CE8D" w14:textId="77777777" w:rsidR="001B7FE8" w:rsidRPr="00312B84" w:rsidRDefault="001B7FE8">
            <w:pPr>
              <w:spacing w:after="40"/>
              <w:rPr>
                <w:sz w:val="22"/>
                <w:szCs w:val="22"/>
              </w:rPr>
            </w:pPr>
            <w:r w:rsidRPr="00312B84">
              <w:rPr>
                <w:rFonts w:eastAsia="Calibri"/>
                <w:color w:val="000000"/>
                <w:sz w:val="22"/>
                <w:szCs w:val="22"/>
              </w:rPr>
              <w:t>Companies self-attest value is rising, not falling — customers deepening existing platforms.</w:t>
            </w:r>
          </w:p>
        </w:tc>
        <w:tc>
          <w:tcPr>
            <w:tcW w:w="2438" w:type="dxa"/>
            <w:tcBorders>
              <w:top w:val="single" w:sz="4" w:space="0" w:color="D0D0D0"/>
              <w:left w:val="single" w:sz="4" w:space="0" w:color="D0D0D0"/>
              <w:bottom w:val="single" w:sz="4" w:space="0" w:color="D0D0D0"/>
              <w:right w:val="single" w:sz="4" w:space="0" w:color="D0D0D0"/>
            </w:tcBorders>
            <w:tcMar>
              <w:top w:w="50" w:type="dxa"/>
              <w:left w:w="80" w:type="dxa"/>
              <w:bottom w:w="50" w:type="dxa"/>
              <w:right w:w="80" w:type="dxa"/>
            </w:tcMar>
          </w:tcPr>
          <w:p w14:paraId="6361EAC3" w14:textId="77777777" w:rsidR="001B7FE8" w:rsidRPr="00312B84" w:rsidRDefault="001B7FE8">
            <w:pPr>
              <w:spacing w:after="40"/>
              <w:rPr>
                <w:sz w:val="22"/>
                <w:szCs w:val="22"/>
              </w:rPr>
            </w:pPr>
            <w:r w:rsidRPr="00312B84">
              <w:rPr>
                <w:rFonts w:eastAsia="Calibri"/>
                <w:color w:val="000000"/>
                <w:sz w:val="22"/>
                <w:szCs w:val="22"/>
              </w:rPr>
              <w:t>Is the application layer a value donor, or can it still retain value?</w:t>
            </w:r>
          </w:p>
        </w:tc>
      </w:tr>
      <w:tr w:rsidR="001B7FE8" w:rsidRPr="00312B84" w14:paraId="205AE7CA" w14:textId="77777777" w:rsidTr="001B7FE8">
        <w:trPr>
          <w:trHeight w:val="923"/>
        </w:trPr>
        <w:tc>
          <w:tcPr>
            <w:tcW w:w="2146" w:type="dxa"/>
            <w:tcBorders>
              <w:top w:val="single" w:sz="4" w:space="0" w:color="D0D0D0"/>
              <w:left w:val="single" w:sz="4" w:space="0" w:color="D0D0D0"/>
              <w:bottom w:val="single" w:sz="4" w:space="0" w:color="D0D0D0"/>
              <w:right w:val="single" w:sz="4" w:space="0" w:color="D0D0D0"/>
            </w:tcBorders>
            <w:shd w:val="clear" w:color="auto" w:fill="F2F5F9"/>
            <w:tcMar>
              <w:top w:w="50" w:type="dxa"/>
              <w:left w:w="80" w:type="dxa"/>
              <w:bottom w:w="50" w:type="dxa"/>
              <w:right w:w="80" w:type="dxa"/>
            </w:tcMar>
          </w:tcPr>
          <w:p w14:paraId="204262F0" w14:textId="77777777" w:rsidR="001B7FE8" w:rsidRPr="00312B84" w:rsidRDefault="001B7FE8">
            <w:pPr>
              <w:spacing w:after="40"/>
              <w:rPr>
                <w:sz w:val="22"/>
                <w:szCs w:val="22"/>
              </w:rPr>
            </w:pPr>
            <w:r w:rsidRPr="00312B84">
              <w:rPr>
                <w:rFonts w:eastAsia="Calibri"/>
                <w:b/>
                <w:bCs/>
                <w:color w:val="000000"/>
                <w:sz w:val="22"/>
                <w:szCs w:val="22"/>
              </w:rPr>
              <w:t>Build vs buy (in-house substitution)</w:t>
            </w:r>
          </w:p>
        </w:tc>
        <w:tc>
          <w:tcPr>
            <w:tcW w:w="2830" w:type="dxa"/>
            <w:tcBorders>
              <w:top w:val="single" w:sz="4" w:space="0" w:color="D0D0D0"/>
              <w:left w:val="single" w:sz="4" w:space="0" w:color="D0D0D0"/>
              <w:bottom w:val="single" w:sz="4" w:space="0" w:color="D0D0D0"/>
              <w:right w:val="single" w:sz="4" w:space="0" w:color="D0D0D0"/>
            </w:tcBorders>
            <w:shd w:val="clear" w:color="auto" w:fill="F2F5F9"/>
            <w:tcMar>
              <w:top w:w="50" w:type="dxa"/>
              <w:left w:w="80" w:type="dxa"/>
              <w:bottom w:w="50" w:type="dxa"/>
              <w:right w:w="80" w:type="dxa"/>
            </w:tcMar>
          </w:tcPr>
          <w:p w14:paraId="2DDA4677" w14:textId="77777777" w:rsidR="001B7FE8" w:rsidRPr="00312B84" w:rsidRDefault="001B7FE8">
            <w:pPr>
              <w:spacing w:after="40"/>
              <w:rPr>
                <w:sz w:val="22"/>
                <w:szCs w:val="22"/>
              </w:rPr>
            </w:pPr>
            <w:r w:rsidRPr="00312B84">
              <w:rPr>
                <w:rFonts w:eastAsia="Calibri"/>
                <w:color w:val="000000"/>
                <w:sz w:val="22"/>
                <w:szCs w:val="22"/>
              </w:rPr>
              <w:t>AI coding tools cut build costs; procurement self-builds replace applications.</w:t>
            </w:r>
          </w:p>
        </w:tc>
        <w:tc>
          <w:tcPr>
            <w:tcW w:w="2830" w:type="dxa"/>
            <w:tcBorders>
              <w:top w:val="single" w:sz="4" w:space="0" w:color="D0D0D0"/>
              <w:left w:val="single" w:sz="4" w:space="0" w:color="D0D0D0"/>
              <w:bottom w:val="single" w:sz="4" w:space="0" w:color="D0D0D0"/>
              <w:right w:val="single" w:sz="4" w:space="0" w:color="D0D0D0"/>
            </w:tcBorders>
            <w:shd w:val="clear" w:color="auto" w:fill="F2F5F9"/>
            <w:tcMar>
              <w:top w:w="50" w:type="dxa"/>
              <w:left w:w="80" w:type="dxa"/>
              <w:bottom w:w="50" w:type="dxa"/>
              <w:right w:w="80" w:type="dxa"/>
            </w:tcMar>
          </w:tcPr>
          <w:p w14:paraId="29CDFC54" w14:textId="77777777" w:rsidR="001B7FE8" w:rsidRPr="00312B84" w:rsidRDefault="001B7FE8">
            <w:pPr>
              <w:spacing w:after="40"/>
              <w:rPr>
                <w:sz w:val="22"/>
                <w:szCs w:val="22"/>
              </w:rPr>
            </w:pPr>
            <w:r w:rsidRPr="00312B84">
              <w:rPr>
                <w:rFonts w:eastAsia="Calibri"/>
                <w:color w:val="000000"/>
                <w:sz w:val="22"/>
                <w:szCs w:val="22"/>
              </w:rPr>
              <w:t>Customers deepen existing platforms rather than starting from scratch.</w:t>
            </w:r>
          </w:p>
        </w:tc>
        <w:tc>
          <w:tcPr>
            <w:tcW w:w="2438" w:type="dxa"/>
            <w:tcBorders>
              <w:top w:val="single" w:sz="4" w:space="0" w:color="D0D0D0"/>
              <w:left w:val="single" w:sz="4" w:space="0" w:color="D0D0D0"/>
              <w:bottom w:val="single" w:sz="4" w:space="0" w:color="D0D0D0"/>
              <w:right w:val="single" w:sz="4" w:space="0" w:color="D0D0D0"/>
            </w:tcBorders>
            <w:shd w:val="clear" w:color="auto" w:fill="F2F5F9"/>
            <w:tcMar>
              <w:top w:w="50" w:type="dxa"/>
              <w:left w:w="80" w:type="dxa"/>
              <w:bottom w:w="50" w:type="dxa"/>
              <w:right w:w="80" w:type="dxa"/>
            </w:tcMar>
          </w:tcPr>
          <w:p w14:paraId="5E55E5BA" w14:textId="77777777" w:rsidR="001B7FE8" w:rsidRPr="00312B84" w:rsidRDefault="001B7FE8">
            <w:pPr>
              <w:spacing w:after="40"/>
              <w:rPr>
                <w:sz w:val="22"/>
                <w:szCs w:val="22"/>
              </w:rPr>
            </w:pPr>
            <w:r w:rsidRPr="00312B84">
              <w:rPr>
                <w:rFonts w:eastAsia="Calibri"/>
                <w:color w:val="000000"/>
                <w:sz w:val="22"/>
                <w:szCs w:val="22"/>
              </w:rPr>
              <w:t>Does the collapse in build cost genuinely favor building?</w:t>
            </w:r>
          </w:p>
        </w:tc>
      </w:tr>
      <w:tr w:rsidR="001B7FE8" w:rsidRPr="00312B84" w14:paraId="2C0EEE7D" w14:textId="77777777" w:rsidTr="001B7FE8">
        <w:trPr>
          <w:trHeight w:val="643"/>
        </w:trPr>
        <w:tc>
          <w:tcPr>
            <w:tcW w:w="2146" w:type="dxa"/>
            <w:tcBorders>
              <w:top w:val="single" w:sz="4" w:space="0" w:color="D0D0D0"/>
              <w:left w:val="single" w:sz="4" w:space="0" w:color="D0D0D0"/>
              <w:bottom w:val="single" w:sz="4" w:space="0" w:color="D0D0D0"/>
              <w:right w:val="single" w:sz="4" w:space="0" w:color="D0D0D0"/>
            </w:tcBorders>
            <w:tcMar>
              <w:top w:w="50" w:type="dxa"/>
              <w:left w:w="80" w:type="dxa"/>
              <w:bottom w:w="50" w:type="dxa"/>
              <w:right w:w="80" w:type="dxa"/>
            </w:tcMar>
          </w:tcPr>
          <w:p w14:paraId="5A7AF457" w14:textId="77777777" w:rsidR="001B7FE8" w:rsidRPr="00312B84" w:rsidRDefault="001B7FE8">
            <w:pPr>
              <w:spacing w:after="40"/>
              <w:rPr>
                <w:sz w:val="22"/>
                <w:szCs w:val="22"/>
              </w:rPr>
            </w:pPr>
            <w:r w:rsidRPr="00312B84">
              <w:rPr>
                <w:rFonts w:eastAsia="Calibri"/>
                <w:b/>
                <w:bCs/>
                <w:color w:val="000000"/>
                <w:sz w:val="22"/>
                <w:szCs w:val="22"/>
              </w:rPr>
              <w:t>Can seat + consumption pricing deliver?</w:t>
            </w:r>
          </w:p>
        </w:tc>
        <w:tc>
          <w:tcPr>
            <w:tcW w:w="2830" w:type="dxa"/>
            <w:tcBorders>
              <w:top w:val="single" w:sz="4" w:space="0" w:color="D0D0D0"/>
              <w:left w:val="single" w:sz="4" w:space="0" w:color="D0D0D0"/>
              <w:bottom w:val="single" w:sz="4" w:space="0" w:color="D0D0D0"/>
              <w:right w:val="single" w:sz="4" w:space="0" w:color="D0D0D0"/>
            </w:tcBorders>
            <w:tcMar>
              <w:top w:w="50" w:type="dxa"/>
              <w:left w:w="80" w:type="dxa"/>
              <w:bottom w:w="50" w:type="dxa"/>
              <w:right w:w="80" w:type="dxa"/>
            </w:tcMar>
          </w:tcPr>
          <w:p w14:paraId="39FCA425" w14:textId="77777777" w:rsidR="001B7FE8" w:rsidRPr="00312B84" w:rsidRDefault="001B7FE8">
            <w:pPr>
              <w:spacing w:after="40"/>
              <w:rPr>
                <w:sz w:val="22"/>
                <w:szCs w:val="22"/>
              </w:rPr>
            </w:pPr>
            <w:r w:rsidRPr="00312B84">
              <w:rPr>
                <w:rFonts w:eastAsia="Calibri"/>
                <w:color w:val="000000"/>
                <w:sz w:val="22"/>
                <w:szCs w:val="22"/>
              </w:rPr>
              <w:t>Buyers strongly resist hybrid pricing as double charging.</w:t>
            </w:r>
          </w:p>
        </w:tc>
        <w:tc>
          <w:tcPr>
            <w:tcW w:w="2830" w:type="dxa"/>
            <w:tcBorders>
              <w:top w:val="single" w:sz="4" w:space="0" w:color="D0D0D0"/>
              <w:left w:val="single" w:sz="4" w:space="0" w:color="D0D0D0"/>
              <w:bottom w:val="single" w:sz="4" w:space="0" w:color="D0D0D0"/>
              <w:right w:val="single" w:sz="4" w:space="0" w:color="D0D0D0"/>
            </w:tcBorders>
            <w:tcMar>
              <w:top w:w="50" w:type="dxa"/>
              <w:left w:w="80" w:type="dxa"/>
              <w:bottom w:w="50" w:type="dxa"/>
              <w:right w:w="80" w:type="dxa"/>
            </w:tcMar>
          </w:tcPr>
          <w:p w14:paraId="2C31E08E" w14:textId="77777777" w:rsidR="001B7FE8" w:rsidRPr="00312B84" w:rsidRDefault="001B7FE8">
            <w:pPr>
              <w:spacing w:after="40"/>
              <w:rPr>
                <w:sz w:val="22"/>
                <w:szCs w:val="22"/>
              </w:rPr>
            </w:pPr>
            <w:r w:rsidRPr="00312B84">
              <w:rPr>
                <w:rFonts w:eastAsia="Calibri"/>
                <w:color w:val="000000"/>
                <w:sz w:val="22"/>
                <w:szCs w:val="22"/>
              </w:rPr>
              <w:t>Already ~half of net-new business, progressing smoothly.</w:t>
            </w:r>
          </w:p>
        </w:tc>
        <w:tc>
          <w:tcPr>
            <w:tcW w:w="2438" w:type="dxa"/>
            <w:tcBorders>
              <w:top w:val="single" w:sz="4" w:space="0" w:color="D0D0D0"/>
              <w:left w:val="single" w:sz="4" w:space="0" w:color="D0D0D0"/>
              <w:bottom w:val="single" w:sz="4" w:space="0" w:color="D0D0D0"/>
              <w:right w:val="single" w:sz="4" w:space="0" w:color="D0D0D0"/>
            </w:tcBorders>
            <w:tcMar>
              <w:top w:w="50" w:type="dxa"/>
              <w:left w:w="80" w:type="dxa"/>
              <w:bottom w:w="50" w:type="dxa"/>
              <w:right w:w="80" w:type="dxa"/>
            </w:tcMar>
          </w:tcPr>
          <w:p w14:paraId="10807B82" w14:textId="77777777" w:rsidR="001B7FE8" w:rsidRPr="00312B84" w:rsidRDefault="001B7FE8">
            <w:pPr>
              <w:spacing w:after="40"/>
              <w:rPr>
                <w:sz w:val="22"/>
                <w:szCs w:val="22"/>
              </w:rPr>
            </w:pPr>
            <w:r w:rsidRPr="00312B84">
              <w:rPr>
                <w:rFonts w:eastAsia="Calibri"/>
                <w:color w:val="000000"/>
                <w:sz w:val="22"/>
                <w:szCs w:val="22"/>
              </w:rPr>
              <w:t>Pace of consumption monetization and buyer acceptance.</w:t>
            </w:r>
          </w:p>
        </w:tc>
      </w:tr>
      <w:tr w:rsidR="001B7FE8" w:rsidRPr="00312B84" w14:paraId="4FC1EFB0" w14:textId="77777777" w:rsidTr="001B7FE8">
        <w:trPr>
          <w:trHeight w:val="660"/>
        </w:trPr>
        <w:tc>
          <w:tcPr>
            <w:tcW w:w="2146" w:type="dxa"/>
            <w:tcBorders>
              <w:top w:val="single" w:sz="4" w:space="0" w:color="D0D0D0"/>
              <w:left w:val="single" w:sz="4" w:space="0" w:color="D0D0D0"/>
              <w:bottom w:val="single" w:sz="4" w:space="0" w:color="D0D0D0"/>
              <w:right w:val="single" w:sz="4" w:space="0" w:color="D0D0D0"/>
            </w:tcBorders>
            <w:shd w:val="clear" w:color="auto" w:fill="F2F5F9"/>
            <w:tcMar>
              <w:top w:w="50" w:type="dxa"/>
              <w:left w:w="80" w:type="dxa"/>
              <w:bottom w:w="50" w:type="dxa"/>
              <w:right w:w="80" w:type="dxa"/>
            </w:tcMar>
          </w:tcPr>
          <w:p w14:paraId="53DFF718" w14:textId="77777777" w:rsidR="001B7FE8" w:rsidRPr="00312B84" w:rsidRDefault="001B7FE8">
            <w:pPr>
              <w:spacing w:after="40"/>
              <w:rPr>
                <w:sz w:val="22"/>
                <w:szCs w:val="22"/>
              </w:rPr>
            </w:pPr>
            <w:r w:rsidRPr="00312B84">
              <w:rPr>
                <w:rFonts w:eastAsia="Calibri"/>
                <w:b/>
                <w:bCs/>
                <w:color w:val="000000"/>
                <w:sz w:val="22"/>
                <w:szCs w:val="22"/>
              </w:rPr>
              <w:t>Lag from token usage to revenue</w:t>
            </w:r>
          </w:p>
        </w:tc>
        <w:tc>
          <w:tcPr>
            <w:tcW w:w="2830" w:type="dxa"/>
            <w:tcBorders>
              <w:top w:val="single" w:sz="4" w:space="0" w:color="D0D0D0"/>
              <w:left w:val="single" w:sz="4" w:space="0" w:color="D0D0D0"/>
              <w:bottom w:val="single" w:sz="4" w:space="0" w:color="D0D0D0"/>
              <w:right w:val="single" w:sz="4" w:space="0" w:color="D0D0D0"/>
            </w:tcBorders>
            <w:shd w:val="clear" w:color="auto" w:fill="F2F5F9"/>
            <w:tcMar>
              <w:top w:w="50" w:type="dxa"/>
              <w:left w:w="80" w:type="dxa"/>
              <w:bottom w:w="50" w:type="dxa"/>
              <w:right w:w="80" w:type="dxa"/>
            </w:tcMar>
          </w:tcPr>
          <w:p w14:paraId="52172AB6" w14:textId="77777777" w:rsidR="001B7FE8" w:rsidRPr="00312B84" w:rsidRDefault="001B7FE8">
            <w:pPr>
              <w:spacing w:after="40"/>
              <w:rPr>
                <w:sz w:val="22"/>
                <w:szCs w:val="22"/>
              </w:rPr>
            </w:pPr>
            <w:r w:rsidRPr="00312B84">
              <w:rPr>
                <w:rFonts w:eastAsia="Calibri"/>
                <w:color w:val="000000"/>
                <w:sz w:val="22"/>
                <w:szCs w:val="22"/>
              </w:rPr>
              <w:t>Token spend faces optimization — slowing, not cut.</w:t>
            </w:r>
          </w:p>
        </w:tc>
        <w:tc>
          <w:tcPr>
            <w:tcW w:w="2830" w:type="dxa"/>
            <w:tcBorders>
              <w:top w:val="single" w:sz="4" w:space="0" w:color="D0D0D0"/>
              <w:left w:val="single" w:sz="4" w:space="0" w:color="D0D0D0"/>
              <w:bottom w:val="single" w:sz="4" w:space="0" w:color="D0D0D0"/>
              <w:right w:val="single" w:sz="4" w:space="0" w:color="D0D0D0"/>
            </w:tcBorders>
            <w:shd w:val="clear" w:color="auto" w:fill="F2F5F9"/>
            <w:tcMar>
              <w:top w:w="50" w:type="dxa"/>
              <w:left w:w="80" w:type="dxa"/>
              <w:bottom w:w="50" w:type="dxa"/>
              <w:right w:w="80" w:type="dxa"/>
            </w:tcMar>
          </w:tcPr>
          <w:p w14:paraId="5DCE5D89" w14:textId="77777777" w:rsidR="001B7FE8" w:rsidRPr="00312B84" w:rsidRDefault="001B7FE8">
            <w:pPr>
              <w:spacing w:after="40"/>
              <w:rPr>
                <w:sz w:val="22"/>
                <w:szCs w:val="22"/>
              </w:rPr>
            </w:pPr>
            <w:r w:rsidRPr="00312B84">
              <w:rPr>
                <w:rFonts w:eastAsia="Calibri"/>
                <w:color w:val="000000"/>
                <w:sz w:val="22"/>
                <w:szCs w:val="22"/>
              </w:rPr>
              <w:t>Token volumes compounding QoQ; demand tailwind.</w:t>
            </w:r>
          </w:p>
        </w:tc>
        <w:tc>
          <w:tcPr>
            <w:tcW w:w="2438" w:type="dxa"/>
            <w:tcBorders>
              <w:top w:val="single" w:sz="4" w:space="0" w:color="D0D0D0"/>
              <w:left w:val="single" w:sz="4" w:space="0" w:color="D0D0D0"/>
              <w:bottom w:val="single" w:sz="4" w:space="0" w:color="D0D0D0"/>
              <w:right w:val="single" w:sz="4" w:space="0" w:color="D0D0D0"/>
            </w:tcBorders>
            <w:shd w:val="clear" w:color="auto" w:fill="F2F5F9"/>
            <w:tcMar>
              <w:top w:w="50" w:type="dxa"/>
              <w:left w:w="80" w:type="dxa"/>
              <w:bottom w:w="50" w:type="dxa"/>
              <w:right w:w="80" w:type="dxa"/>
            </w:tcMar>
          </w:tcPr>
          <w:p w14:paraId="50E72D4E" w14:textId="77777777" w:rsidR="001B7FE8" w:rsidRPr="00312B84" w:rsidRDefault="001B7FE8">
            <w:pPr>
              <w:spacing w:after="40"/>
              <w:rPr>
                <w:sz w:val="22"/>
                <w:szCs w:val="22"/>
              </w:rPr>
            </w:pPr>
            <w:r w:rsidRPr="00312B84">
              <w:rPr>
                <w:rFonts w:eastAsia="Calibri"/>
                <w:color w:val="000000"/>
                <w:sz w:val="22"/>
                <w:szCs w:val="22"/>
              </w:rPr>
              <w:t>Can usage growth convert to revenue in time?</w:t>
            </w:r>
          </w:p>
        </w:tc>
      </w:tr>
    </w:tbl>
    <w:p w14:paraId="5E15116C" w14:textId="77777777" w:rsidR="001B7FE8" w:rsidRPr="00312B84" w:rsidRDefault="001B7FE8" w:rsidP="001B7FE8">
      <w:pPr>
        <w:spacing w:before="20" w:after="140"/>
        <w:rPr>
          <w:sz w:val="36"/>
          <w:szCs w:val="36"/>
        </w:rPr>
      </w:pPr>
      <w:r w:rsidRPr="00312B84">
        <w:rPr>
          <w:rFonts w:eastAsia="Calibri"/>
          <w:i/>
          <w:color w:val="595959"/>
          <w:sz w:val="16"/>
          <w:szCs w:val="16"/>
        </w:rPr>
        <w:t>Source: Junson AID synthesis of GS / UBS / BofA research vs MSFT / ORCL / CRM / NOW company communications.</w:t>
      </w:r>
    </w:p>
    <w:p w14:paraId="6E7462F5" w14:textId="77777777" w:rsidR="001B7FE8" w:rsidRPr="00312B84" w:rsidRDefault="001B7FE8" w:rsidP="001B7FE8">
      <w:pPr>
        <w:spacing w:after="100"/>
        <w:jc w:val="both"/>
        <w:rPr>
          <w:color w:val="000000"/>
          <w:sz w:val="24"/>
          <w:szCs w:val="24"/>
        </w:rPr>
      </w:pPr>
    </w:p>
    <w:p w14:paraId="6EB36A8E" w14:textId="77777777" w:rsidR="00813CB8" w:rsidRPr="00312B84" w:rsidRDefault="002B4BED">
      <w:pPr>
        <w:pStyle w:val="2"/>
        <w:spacing w:before="560" w:after="140"/>
        <w:rPr>
          <w:sz w:val="22"/>
          <w:szCs w:val="22"/>
        </w:rPr>
      </w:pPr>
      <w:r w:rsidRPr="00312B84">
        <w:rPr>
          <w:rFonts w:eastAsia="Calibri Light"/>
          <w:color w:val="001F5F"/>
          <w:sz w:val="40"/>
          <w:szCs w:val="40"/>
        </w:rPr>
        <w:t>4.2 Things we should know</w:t>
      </w:r>
    </w:p>
    <w:p w14:paraId="6EB36A8F"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AI inference is putting genuine variable cost into SaaS gross margins for the first time — the transitional framing is a Rule of 30 rather than 40 — so margin durability joins growth as an underwriting variable for software credit.</w:t>
      </w:r>
    </w:p>
    <w:p w14:paraId="6EB36A90" w14:textId="77777777" w:rsidR="00813CB8" w:rsidRPr="00312B84" w:rsidRDefault="002B4BED">
      <w:pPr>
        <w:pStyle w:val="a4"/>
        <w:numPr>
          <w:ilvl w:val="0"/>
          <w:numId w:val="2"/>
        </w:numPr>
        <w:spacing w:after="100"/>
        <w:jc w:val="both"/>
        <w:rPr>
          <w:sz w:val="24"/>
          <w:szCs w:val="24"/>
        </w:rPr>
      </w:pPr>
      <w:r w:rsidRPr="00312B84">
        <w:rPr>
          <w:rFonts w:eastAsia="Calibri Light"/>
          <w:color w:val="000000"/>
          <w:sz w:val="24"/>
          <w:szCs w:val="24"/>
        </w:rPr>
        <w:t>Software producers are restructuring around agents: revenue at leading companies grew 22% faster than headcount over the past year and engineering squads are shrinking toward 3–5-person agentic pods — a structural headwind for per-seat developer tooling.</w:t>
      </w:r>
    </w:p>
    <w:p w14:paraId="6EB36A91" w14:textId="77777777" w:rsidR="00813CB8" w:rsidRPr="00312B84" w:rsidRDefault="002B4BED">
      <w:pPr>
        <w:pStyle w:val="2"/>
        <w:spacing w:before="560" w:after="140"/>
        <w:rPr>
          <w:sz w:val="22"/>
          <w:szCs w:val="22"/>
        </w:rPr>
      </w:pPr>
      <w:r w:rsidRPr="00312B84">
        <w:rPr>
          <w:rFonts w:eastAsia="Calibri Light"/>
          <w:color w:val="001F5F"/>
          <w:sz w:val="40"/>
          <w:szCs w:val="40"/>
        </w:rPr>
        <w:t>4.3 AI impact on software layers</w:t>
      </w:r>
    </w:p>
    <w:p w14:paraId="30622695" w14:textId="77777777" w:rsidR="00DF1B5E" w:rsidRPr="00312B84" w:rsidRDefault="00DF1B5E" w:rsidP="00DF1B5E">
      <w:pPr>
        <w:spacing w:before="60" w:after="40"/>
        <w:jc w:val="center"/>
        <w:rPr>
          <w:sz w:val="24"/>
          <w:szCs w:val="24"/>
        </w:rPr>
      </w:pPr>
      <w:r w:rsidRPr="00312B84">
        <w:rPr>
          <w:noProof/>
          <w:sz w:val="24"/>
          <w:szCs w:val="24"/>
        </w:rPr>
        <w:lastRenderedPageBreak/>
        <w:drawing>
          <wp:inline distT="0" distB="0" distL="0" distR="0" wp14:anchorId="2E27CF79" wp14:editId="484F2BB9">
            <wp:extent cx="3662606" cy="2895804"/>
            <wp:effectExtent l="0" t="0" r="0" b="0"/>
            <wp:docPr id="279826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77645" name=""/>
                    <pic:cNvPicPr>
                      <a:picLocks noChangeAspect="1" noChangeArrowheads="1"/>
                    </pic:cNvPicPr>
                  </pic:nvPicPr>
                  <pic:blipFill>
                    <a:blip r:embed="rId57"/>
                    <a:srcRect/>
                    <a:stretch>
                      <a:fillRect/>
                    </a:stretch>
                  </pic:blipFill>
                  <pic:spPr bwMode="auto">
                    <a:xfrm>
                      <a:off x="0" y="0"/>
                      <a:ext cx="3662606" cy="2895804"/>
                    </a:xfrm>
                    <a:prstGeom prst="rect">
                      <a:avLst/>
                    </a:prstGeom>
                  </pic:spPr>
                </pic:pic>
              </a:graphicData>
            </a:graphic>
          </wp:inline>
        </w:drawing>
      </w:r>
    </w:p>
    <w:p w14:paraId="406EF779" w14:textId="77777777" w:rsidR="00DF1B5E" w:rsidRPr="00312B84" w:rsidRDefault="00DF1B5E" w:rsidP="00DF1B5E">
      <w:pPr>
        <w:spacing w:after="60"/>
        <w:jc w:val="center"/>
        <w:rPr>
          <w:sz w:val="24"/>
          <w:szCs w:val="24"/>
        </w:rPr>
      </w:pPr>
      <w:r w:rsidRPr="00312B84">
        <w:rPr>
          <w:rFonts w:eastAsia="Calibri"/>
          <w:b/>
          <w:bCs/>
          <w:color w:val="595959"/>
          <w:sz w:val="11"/>
          <w:szCs w:val="11"/>
        </w:rPr>
        <w:t xml:space="preserve">Exhibit 6  </w:t>
      </w:r>
      <w:r w:rsidRPr="00312B84">
        <w:rPr>
          <w:rFonts w:eastAsia="Calibri"/>
          <w:i/>
          <w:iCs/>
          <w:color w:val="595959"/>
          <w:sz w:val="11"/>
          <w:szCs w:val="11"/>
        </w:rPr>
        <w:t>The software stack under AI — layer taxonomy across GS / UBS / BofA frameworks.</w:t>
      </w:r>
    </w:p>
    <w:p w14:paraId="7C18B286" w14:textId="77777777" w:rsidR="00DF1B5E" w:rsidRPr="00312B84" w:rsidRDefault="00DF1B5E" w:rsidP="00DF1B5E">
      <w:pPr>
        <w:spacing w:before="20" w:after="140"/>
        <w:jc w:val="center"/>
        <w:rPr>
          <w:sz w:val="24"/>
          <w:szCs w:val="24"/>
        </w:rPr>
      </w:pPr>
      <w:r w:rsidRPr="00312B84">
        <w:rPr>
          <w:rFonts w:eastAsia="Calibri"/>
          <w:i/>
          <w:iCs/>
          <w:color w:val="595959"/>
          <w:sz w:val="11"/>
          <w:szCs w:val="11"/>
        </w:rPr>
        <w:t>Source: GS, UBS, BofA software research frameworks; diagram by Junson AID.</w:t>
      </w:r>
    </w:p>
    <w:p w14:paraId="5A85A927" w14:textId="77777777" w:rsidR="00DF1B5E" w:rsidRPr="00312B84" w:rsidRDefault="00DF1B5E" w:rsidP="00DF1B5E">
      <w:pPr>
        <w:spacing w:after="40"/>
        <w:jc w:val="both"/>
        <w:rPr>
          <w:sz w:val="24"/>
          <w:szCs w:val="24"/>
        </w:rPr>
      </w:pPr>
      <w:r w:rsidRPr="00312B84">
        <w:rPr>
          <w:rFonts w:eastAsia="Calibri"/>
          <w:b/>
          <w:bCs/>
          <w:i/>
          <w:iCs/>
          <w:color w:val="000000"/>
          <w:sz w:val="24"/>
          <w:szCs w:val="24"/>
        </w:rPr>
        <w:t xml:space="preserve">Application layer: </w:t>
      </w:r>
      <w:r w:rsidRPr="00312B84">
        <w:rPr>
          <w:rFonts w:eastAsia="Calibri"/>
          <w:i/>
          <w:iCs/>
          <w:color w:val="000000"/>
          <w:sz w:val="24"/>
          <w:szCs w:val="24"/>
        </w:rPr>
        <w:t>record- and transaction-oriented front-office software facing business users, carrying CRM, marketing, customer-service and CPaaS workflows.</w:t>
      </w:r>
    </w:p>
    <w:p w14:paraId="54B71B5A" w14:textId="77777777" w:rsidR="00DF1B5E" w:rsidRPr="00312B84" w:rsidRDefault="00DF1B5E" w:rsidP="00DF1B5E">
      <w:pPr>
        <w:spacing w:after="40"/>
        <w:jc w:val="both"/>
        <w:rPr>
          <w:sz w:val="24"/>
          <w:szCs w:val="24"/>
        </w:rPr>
      </w:pPr>
      <w:r w:rsidRPr="00312B84">
        <w:rPr>
          <w:rFonts w:eastAsia="Calibri"/>
          <w:b/>
          <w:bCs/>
          <w:i/>
          <w:iCs/>
          <w:color w:val="000000"/>
          <w:sz w:val="24"/>
          <w:szCs w:val="24"/>
        </w:rPr>
        <w:t xml:space="preserve">Orchestration &amp; Intelligence layer: </w:t>
      </w:r>
      <w:r w:rsidRPr="00312B84">
        <w:rPr>
          <w:rFonts w:eastAsia="Calibri"/>
          <w:i/>
          <w:iCs/>
          <w:color w:val="000000"/>
          <w:sz w:val="24"/>
          <w:szCs w:val="24"/>
        </w:rPr>
        <w:t>the agent and operating/ontology layer above applications that judges, orchestrates and executes — turning records of what happened into decisions and action.</w:t>
      </w:r>
    </w:p>
    <w:p w14:paraId="0FA131E7" w14:textId="77777777" w:rsidR="00DF1B5E" w:rsidRPr="00312B84" w:rsidRDefault="00DF1B5E" w:rsidP="00DF1B5E">
      <w:pPr>
        <w:spacing w:after="40"/>
        <w:jc w:val="both"/>
        <w:rPr>
          <w:sz w:val="24"/>
          <w:szCs w:val="24"/>
        </w:rPr>
      </w:pPr>
      <w:r w:rsidRPr="00312B84">
        <w:rPr>
          <w:rFonts w:eastAsia="Calibri"/>
          <w:b/>
          <w:bCs/>
          <w:i/>
          <w:iCs/>
          <w:color w:val="000000"/>
          <w:sz w:val="24"/>
          <w:szCs w:val="24"/>
        </w:rPr>
        <w:t xml:space="preserve">Data &amp; Platform layer: </w:t>
      </w:r>
      <w:r w:rsidRPr="00312B84">
        <w:rPr>
          <w:rFonts w:eastAsia="Calibri"/>
          <w:i/>
          <w:iCs/>
          <w:color w:val="000000"/>
          <w:sz w:val="24"/>
          <w:szCs w:val="24"/>
        </w:rPr>
        <w:t>the foundation that consolidates enterprise data and unified governance, providing data, model access and controls to the agents and applications above.</w:t>
      </w:r>
    </w:p>
    <w:p w14:paraId="3604151B" w14:textId="77777777" w:rsidR="00DF1B5E" w:rsidRPr="00312B84" w:rsidRDefault="00DF1B5E" w:rsidP="00DF1B5E">
      <w:pPr>
        <w:spacing w:after="100"/>
        <w:jc w:val="both"/>
        <w:rPr>
          <w:sz w:val="24"/>
          <w:szCs w:val="24"/>
        </w:rPr>
      </w:pPr>
      <w:r w:rsidRPr="00312B84">
        <w:rPr>
          <w:rFonts w:eastAsia="Calibri"/>
          <w:b/>
          <w:bCs/>
          <w:i/>
          <w:iCs/>
          <w:color w:val="000000"/>
          <w:sz w:val="24"/>
          <w:szCs w:val="24"/>
        </w:rPr>
        <w:t xml:space="preserve">Infrastructure layer: </w:t>
      </w:r>
      <w:r w:rsidRPr="00312B84">
        <w:rPr>
          <w:rFonts w:eastAsia="Calibri"/>
          <w:i/>
          <w:iCs/>
          <w:color w:val="000000"/>
          <w:sz w:val="24"/>
          <w:szCs w:val="24"/>
        </w:rPr>
        <w:t>compute, cloud and foundation models — the underlying supply carrying AI training and inference workloads.</w:t>
      </w:r>
    </w:p>
    <w:p w14:paraId="55AA6A66" w14:textId="77777777" w:rsidR="00DF1B5E" w:rsidRPr="00312B84" w:rsidRDefault="00DF1B5E" w:rsidP="00DF1B5E">
      <w:pPr>
        <w:pStyle w:val="3"/>
        <w:spacing w:before="160" w:after="70"/>
        <w:rPr>
          <w:sz w:val="36"/>
          <w:szCs w:val="36"/>
        </w:rPr>
      </w:pPr>
      <w:r w:rsidRPr="00312B84">
        <w:rPr>
          <w:rFonts w:eastAsia="Calibri"/>
          <w:b/>
          <w:color w:val="1F3864"/>
          <w:sz w:val="28"/>
          <w:szCs w:val="28"/>
        </w:rPr>
        <w:t>AI’s impact across the layers</w:t>
      </w:r>
    </w:p>
    <w:p w14:paraId="05C0B0BC" w14:textId="77777777" w:rsidR="00DF1B5E" w:rsidRPr="00312B84" w:rsidRDefault="00DF1B5E" w:rsidP="00DF1B5E">
      <w:pPr>
        <w:pStyle w:val="a4"/>
        <w:numPr>
          <w:ilvl w:val="0"/>
          <w:numId w:val="3"/>
        </w:numPr>
        <w:spacing w:after="70"/>
        <w:jc w:val="both"/>
        <w:rPr>
          <w:sz w:val="24"/>
          <w:szCs w:val="24"/>
        </w:rPr>
      </w:pPr>
      <w:r w:rsidRPr="00312B84">
        <w:rPr>
          <w:rFonts w:eastAsia="Calibri"/>
          <w:color w:val="000000"/>
          <w:sz w:val="24"/>
          <w:szCs w:val="24"/>
        </w:rPr>
        <w:t>The four-layer framework (infrastructure — data/platform — orchestration/intelligence — application/record) still holds, but the boundaries are blurring — the data/platform layer is extending upward into intelligent-OS and ontology layers, and the line between infrastructure and applications weakens as customized agent applications spread.</w:t>
      </w:r>
    </w:p>
    <w:p w14:paraId="4C48E26E" w14:textId="77777777" w:rsidR="00DF1B5E" w:rsidRPr="00312B84" w:rsidRDefault="00DF1B5E" w:rsidP="00DF1B5E">
      <w:pPr>
        <w:pStyle w:val="a4"/>
        <w:numPr>
          <w:ilvl w:val="0"/>
          <w:numId w:val="3"/>
        </w:numPr>
        <w:spacing w:after="70"/>
        <w:jc w:val="both"/>
        <w:rPr>
          <w:sz w:val="24"/>
          <w:szCs w:val="24"/>
        </w:rPr>
      </w:pPr>
      <w:r w:rsidRPr="00312B84">
        <w:rPr>
          <w:rFonts w:eastAsia="Calibri"/>
          <w:color w:val="000000"/>
          <w:sz w:val="24"/>
          <w:szCs w:val="24"/>
        </w:rPr>
        <w:t>The core test of durable value per layer has shifted from “is it sticky” to “the quality of stickiness” — good stickiness built on continuous innovation and high-frequency genuine usage endures; bad stickiness maintained by switching costs and contractual lock-in erodes.</w:t>
      </w:r>
    </w:p>
    <w:p w14:paraId="23237067" w14:textId="77777777" w:rsidR="00DF1B5E" w:rsidRPr="00312B84" w:rsidRDefault="00DF1B5E" w:rsidP="00DF1B5E">
      <w:pPr>
        <w:spacing w:before="80" w:after="100"/>
        <w:jc w:val="both"/>
        <w:rPr>
          <w:sz w:val="24"/>
          <w:szCs w:val="24"/>
        </w:rPr>
      </w:pPr>
      <w:r w:rsidRPr="00312B84">
        <w:rPr>
          <w:rFonts w:eastAsia="Calibri"/>
          <w:b/>
          <w:bCs/>
          <w:color w:val="000000"/>
          <w:sz w:val="24"/>
          <w:szCs w:val="24"/>
        </w:rPr>
        <w:t>Vulnerability ranking: Application/Record &gt; Orchestration/Intelligence ≈ Data/Platform &gt; Infrastructure</w:t>
      </w:r>
    </w:p>
    <w:p w14:paraId="219BDC1D" w14:textId="77777777" w:rsidR="00DF1B5E" w:rsidRPr="00312B84" w:rsidRDefault="00DF1B5E" w:rsidP="00DF1B5E">
      <w:pPr>
        <w:pStyle w:val="a4"/>
        <w:numPr>
          <w:ilvl w:val="0"/>
          <w:numId w:val="3"/>
        </w:numPr>
        <w:spacing w:after="70"/>
        <w:jc w:val="both"/>
        <w:rPr>
          <w:sz w:val="24"/>
          <w:szCs w:val="24"/>
        </w:rPr>
      </w:pPr>
      <w:r w:rsidRPr="00312B84">
        <w:rPr>
          <w:rFonts w:eastAsia="Calibri"/>
          <w:color w:val="000000"/>
          <w:sz w:val="24"/>
          <w:szCs w:val="24"/>
        </w:rPr>
        <w:t>The application/record layer is most fragile — systems of record capture only ~5% of decision-relevant information, and ~99% of relevant customer intelligence never enters the system of record; value is most easily lifted into the intelligence layer above, especially for vendors relying purely on seats and switching costs (GS).</w:t>
      </w:r>
    </w:p>
    <w:p w14:paraId="7357FCF4" w14:textId="77777777" w:rsidR="00DF1B5E" w:rsidRPr="00312B84" w:rsidRDefault="00DF1B5E" w:rsidP="00DF1B5E">
      <w:pPr>
        <w:pStyle w:val="a4"/>
        <w:numPr>
          <w:ilvl w:val="0"/>
          <w:numId w:val="3"/>
        </w:numPr>
        <w:spacing w:after="70"/>
        <w:jc w:val="both"/>
        <w:rPr>
          <w:sz w:val="24"/>
          <w:szCs w:val="24"/>
        </w:rPr>
      </w:pPr>
      <w:r w:rsidRPr="00312B84">
        <w:rPr>
          <w:rFonts w:eastAsia="Calibri"/>
          <w:color w:val="000000"/>
          <w:sz w:val="24"/>
          <w:szCs w:val="24"/>
        </w:rPr>
        <w:t>The orchestration/intelligence and data/platform layers sit in the middle — value recipients, yet exposed to entry-point competition and commoditization; they need data assets and governance as a second moat.</w:t>
      </w:r>
    </w:p>
    <w:p w14:paraId="1190143B" w14:textId="77777777" w:rsidR="00DF1B5E" w:rsidRPr="00312B84" w:rsidRDefault="00DF1B5E" w:rsidP="00DF1B5E">
      <w:pPr>
        <w:pStyle w:val="a4"/>
        <w:numPr>
          <w:ilvl w:val="0"/>
          <w:numId w:val="3"/>
        </w:numPr>
        <w:spacing w:after="70"/>
        <w:jc w:val="both"/>
        <w:rPr>
          <w:sz w:val="24"/>
          <w:szCs w:val="24"/>
        </w:rPr>
      </w:pPr>
      <w:r w:rsidRPr="00312B84">
        <w:rPr>
          <w:rFonts w:eastAsia="Calibri"/>
          <w:color w:val="000000"/>
          <w:sz w:val="24"/>
          <w:szCs w:val="24"/>
        </w:rPr>
        <w:t>The infrastructure layer is most resilient — AI workload volume directly drives demand, least exposed to budget rationalization, with demand driven by incremental usage rather than price increases.</w:t>
      </w:r>
    </w:p>
    <w:p w14:paraId="5F64CB03" w14:textId="77777777" w:rsidR="00DF1B5E" w:rsidRPr="00312B84" w:rsidRDefault="00DF1B5E" w:rsidP="00DF1B5E">
      <w:pPr>
        <w:spacing w:before="80" w:after="100"/>
        <w:jc w:val="both"/>
        <w:rPr>
          <w:sz w:val="24"/>
          <w:szCs w:val="24"/>
        </w:rPr>
      </w:pPr>
      <w:r w:rsidRPr="00312B84">
        <w:rPr>
          <w:rFonts w:eastAsia="Calibri"/>
          <w:b/>
          <w:bCs/>
          <w:color w:val="000000"/>
          <w:sz w:val="24"/>
          <w:szCs w:val="24"/>
        </w:rPr>
        <w:t>Marginal change: application/services pricing reconstruction most acute &gt; infrastructure/data demand acceleration &gt; orchestration entry points opening</w:t>
      </w:r>
    </w:p>
    <w:p w14:paraId="38CD190B" w14:textId="77777777" w:rsidR="00DF1B5E" w:rsidRPr="00312B84" w:rsidRDefault="00DF1B5E" w:rsidP="00DF1B5E">
      <w:pPr>
        <w:pStyle w:val="a4"/>
        <w:numPr>
          <w:ilvl w:val="0"/>
          <w:numId w:val="3"/>
        </w:numPr>
        <w:spacing w:after="70"/>
        <w:jc w:val="both"/>
        <w:rPr>
          <w:sz w:val="24"/>
          <w:szCs w:val="24"/>
        </w:rPr>
      </w:pPr>
      <w:r w:rsidRPr="00312B84">
        <w:rPr>
          <w:rFonts w:eastAsia="Calibri"/>
          <w:color w:val="000000"/>
          <w:sz w:val="24"/>
          <w:szCs w:val="24"/>
        </w:rPr>
        <w:t xml:space="preserve">The sharpest marginal change is pricing reconstruction in the application/services layer — from pure seats to seat+consumption and even outcome-based pricing; the transition is long and friction-heavy, </w:t>
      </w:r>
      <w:r w:rsidRPr="00312B84">
        <w:rPr>
          <w:rFonts w:eastAsia="Calibri"/>
          <w:color w:val="000000"/>
          <w:sz w:val="24"/>
          <w:szCs w:val="24"/>
        </w:rPr>
        <w:lastRenderedPageBreak/>
        <w:t>only vendors delivering quantifiable savings can raise prices, and mature seat-priced applications are hit hardest.</w:t>
      </w:r>
    </w:p>
    <w:p w14:paraId="2F468481" w14:textId="77777777" w:rsidR="00DF1B5E" w:rsidRPr="00312B84" w:rsidRDefault="00DF1B5E" w:rsidP="00DF1B5E">
      <w:pPr>
        <w:pStyle w:val="a4"/>
        <w:numPr>
          <w:ilvl w:val="0"/>
          <w:numId w:val="3"/>
        </w:numPr>
        <w:spacing w:after="70"/>
        <w:jc w:val="both"/>
        <w:rPr>
          <w:sz w:val="24"/>
          <w:szCs w:val="24"/>
        </w:rPr>
      </w:pPr>
      <w:r w:rsidRPr="00312B84">
        <w:rPr>
          <w:rFonts w:eastAsia="Calibri"/>
          <w:color w:val="000000"/>
          <w:sz w:val="24"/>
          <w:szCs w:val="24"/>
        </w:rPr>
        <w:t>Next is demand acceleration in the infrastructure/data layer — larger attack surfaces lift security demand, machine-generated code volume lifts data, governance and observability demand, and consumption pricing scales naturally with workloads.</w:t>
      </w:r>
    </w:p>
    <w:p w14:paraId="3F56039C" w14:textId="77777777" w:rsidR="00DF1B5E" w:rsidRPr="00312B84" w:rsidRDefault="00DF1B5E" w:rsidP="00DF1B5E">
      <w:pPr>
        <w:pStyle w:val="a4"/>
        <w:numPr>
          <w:ilvl w:val="0"/>
          <w:numId w:val="3"/>
        </w:numPr>
        <w:spacing w:after="70"/>
        <w:jc w:val="both"/>
        <w:rPr>
          <w:sz w:val="24"/>
          <w:szCs w:val="24"/>
        </w:rPr>
      </w:pPr>
      <w:r w:rsidRPr="00312B84">
        <w:rPr>
          <w:rFonts w:eastAsia="Calibri"/>
          <w:color w:val="000000"/>
          <w:sz w:val="24"/>
          <w:szCs w:val="24"/>
        </w:rPr>
        <w:t>Entry points in the orchestration/intelligence layer are opening — intelligent-OS/ontology layers, headless calls and open agent protocols expand the surfaces through which intelligence is consumed; first movers accumulating proprietary data assets benefit.</w:t>
      </w:r>
    </w:p>
    <w:p w14:paraId="61D53ABB" w14:textId="77777777" w:rsidR="00DF1B5E" w:rsidRPr="00312B84" w:rsidRDefault="00DF1B5E" w:rsidP="00DF1B5E">
      <w:pPr>
        <w:spacing w:before="80" w:after="100"/>
        <w:jc w:val="both"/>
        <w:rPr>
          <w:sz w:val="24"/>
          <w:szCs w:val="24"/>
        </w:rPr>
      </w:pPr>
      <w:r w:rsidRPr="00312B84">
        <w:rPr>
          <w:rFonts w:eastAsia="Calibri"/>
          <w:b/>
          <w:bCs/>
          <w:color w:val="000000"/>
          <w:sz w:val="24"/>
          <w:szCs w:val="24"/>
        </w:rPr>
        <w:t>Key implication: value shifts from recording what happened to intelligence that judges and executes, settling into data and infrastructure</w:t>
      </w:r>
    </w:p>
    <w:p w14:paraId="4C3B0794" w14:textId="77777777" w:rsidR="00DF1B5E" w:rsidRPr="00312B84" w:rsidRDefault="00DF1B5E" w:rsidP="00DF1B5E">
      <w:pPr>
        <w:pStyle w:val="a4"/>
        <w:numPr>
          <w:ilvl w:val="0"/>
          <w:numId w:val="3"/>
        </w:numPr>
        <w:spacing w:after="70"/>
        <w:jc w:val="both"/>
        <w:rPr>
          <w:sz w:val="24"/>
          <w:szCs w:val="24"/>
        </w:rPr>
      </w:pPr>
      <w:r w:rsidRPr="00312B84">
        <w:rPr>
          <w:rFonts w:eastAsia="Calibri"/>
          <w:color w:val="000000"/>
          <w:sz w:val="24"/>
          <w:szCs w:val="24"/>
        </w:rPr>
        <w:t>Software value migrates from the record layer to the orchestration/intelligence layer, and further down into the data/platform and infrastructure layers — the application/record layer is the value donor, not the recipient.</w:t>
      </w:r>
    </w:p>
    <w:p w14:paraId="0F9E84F9" w14:textId="77777777" w:rsidR="00DF1B5E" w:rsidRPr="00312B84" w:rsidRDefault="00DF1B5E" w:rsidP="00DF1B5E">
      <w:pPr>
        <w:pStyle w:val="a4"/>
        <w:numPr>
          <w:ilvl w:val="0"/>
          <w:numId w:val="3"/>
        </w:numPr>
        <w:spacing w:after="70"/>
        <w:jc w:val="both"/>
        <w:rPr>
          <w:sz w:val="24"/>
          <w:szCs w:val="24"/>
        </w:rPr>
      </w:pPr>
      <w:r w:rsidRPr="00312B84">
        <w:rPr>
          <w:rFonts w:eastAsia="Calibri"/>
          <w:color w:val="000000"/>
          <w:sz w:val="24"/>
          <w:szCs w:val="24"/>
        </w:rPr>
        <w:t>Beneficiaries: owners of underlying technical moats and proprietary data assets — the data/platform and infrastructure/security layers, plus intelligence-layer vendors able to compound unstructured interactions into data assets and monetize headless calls.</w:t>
      </w:r>
    </w:p>
    <w:p w14:paraId="6EB36A96" w14:textId="30FF70D4" w:rsidR="00813CB8" w:rsidRPr="00312B84" w:rsidRDefault="00DF1B5E" w:rsidP="00DF1B5E">
      <w:pPr>
        <w:pStyle w:val="a4"/>
        <w:numPr>
          <w:ilvl w:val="0"/>
          <w:numId w:val="3"/>
        </w:numPr>
        <w:spacing w:after="70"/>
        <w:jc w:val="both"/>
        <w:rPr>
          <w:sz w:val="24"/>
          <w:szCs w:val="24"/>
        </w:rPr>
      </w:pPr>
      <w:r w:rsidRPr="00312B84">
        <w:rPr>
          <w:rFonts w:eastAsia="Calibri"/>
          <w:color w:val="000000"/>
          <w:sz w:val="24"/>
          <w:szCs w:val="24"/>
        </w:rPr>
        <w:t>Pressured: pure-record front-office/application software held together by switching costs and seat lock-in — model intelligence itself is only ~10% of the value; the moat is not the model but context, workflow, governance and data.</w:t>
      </w:r>
    </w:p>
    <w:sectPr w:rsidR="00813CB8" w:rsidRPr="00312B84">
      <w:headerReference w:type="default" r:id="rId58"/>
      <w:footerReference w:type="default" r:id="rId59"/>
      <w:pgSz w:w="11906" w:h="16838" w:code="9"/>
      <w:pgMar w:top="1280" w:right="832" w:bottom="600" w:left="830" w:header="44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BAB5" w14:textId="77777777" w:rsidR="00763487" w:rsidRDefault="00763487">
      <w:r>
        <w:separator/>
      </w:r>
    </w:p>
  </w:endnote>
  <w:endnote w:type="continuationSeparator" w:id="0">
    <w:p w14:paraId="21352057" w14:textId="77777777" w:rsidR="00763487" w:rsidRDefault="00763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6AC0" w14:textId="77777777" w:rsidR="00813CB8" w:rsidRDefault="002B4BED">
    <w:pPr>
      <w:tabs>
        <w:tab w:val="right" w:pos="10244"/>
      </w:tabs>
    </w:pPr>
    <w:r>
      <w:rPr>
        <w:rFonts w:eastAsia="Calibri Light"/>
        <w:color w:val="9AA6B2"/>
        <w:sz w:val="18"/>
        <w:szCs w:val="18"/>
      </w:rPr>
      <w:t>Fundamental Analysis Report</w:t>
    </w:r>
    <w:r>
      <w:rPr>
        <w:rFonts w:eastAsia="Calibri Light"/>
        <w:color w:val="9AA6B2"/>
        <w:sz w:val="18"/>
        <w:szCs w:val="18"/>
      </w:rPr>
      <w:tab/>
      <w:t>For internal research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6AC3" w14:textId="77777777" w:rsidR="00813CB8" w:rsidRDefault="002B4BED">
    <w:pPr>
      <w:tabs>
        <w:tab w:val="right" w:pos="10244"/>
      </w:tabs>
    </w:pPr>
    <w:r>
      <w:rPr>
        <w:rFonts w:eastAsia="Calibri Light"/>
        <w:color w:val="9AA6B2"/>
        <w:sz w:val="18"/>
        <w:szCs w:val="18"/>
      </w:rPr>
      <w:t>Fundamental Analysis Report</w:t>
    </w:r>
    <w:r>
      <w:rPr>
        <w:rFonts w:eastAsia="Calibri Light"/>
        <w:color w:val="9AA6B2"/>
        <w:sz w:val="18"/>
        <w:szCs w:val="18"/>
      </w:rPr>
      <w:tab/>
      <w:t>For internal research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6AC5" w14:textId="77777777" w:rsidR="00813CB8" w:rsidRDefault="002B4BED">
    <w:pPr>
      <w:tabs>
        <w:tab w:val="right" w:pos="15176"/>
      </w:tabs>
    </w:pPr>
    <w:r>
      <w:rPr>
        <w:rFonts w:eastAsia="Calibri Light"/>
        <w:color w:val="9AA6B2"/>
        <w:sz w:val="18"/>
        <w:szCs w:val="18"/>
      </w:rPr>
      <w:t>Fundamental Analysis Report</w:t>
    </w:r>
    <w:r>
      <w:rPr>
        <w:rFonts w:eastAsia="Calibri Light"/>
        <w:color w:val="9AA6B2"/>
        <w:sz w:val="18"/>
        <w:szCs w:val="18"/>
      </w:rPr>
      <w:tab/>
      <w:t>For internal research use only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6AC7" w14:textId="77777777" w:rsidR="00813CB8" w:rsidRDefault="002B4BED">
    <w:pPr>
      <w:tabs>
        <w:tab w:val="right" w:pos="10244"/>
      </w:tabs>
    </w:pPr>
    <w:r>
      <w:rPr>
        <w:rFonts w:eastAsia="Calibri Light"/>
        <w:color w:val="9AA6B2"/>
        <w:sz w:val="18"/>
        <w:szCs w:val="18"/>
      </w:rPr>
      <w:t>Fundamental Analysis Report</w:t>
    </w:r>
    <w:r>
      <w:rPr>
        <w:rFonts w:eastAsia="Calibri Light"/>
        <w:color w:val="9AA6B2"/>
        <w:sz w:val="18"/>
        <w:szCs w:val="18"/>
      </w:rPr>
      <w:tab/>
      <w:t>For internal research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FE413" w14:textId="77777777" w:rsidR="00763487" w:rsidRDefault="00763487">
      <w:r>
        <w:separator/>
      </w:r>
    </w:p>
  </w:footnote>
  <w:footnote w:type="continuationSeparator" w:id="0">
    <w:p w14:paraId="05E7C5F2" w14:textId="77777777" w:rsidR="00763487" w:rsidRDefault="00763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6ABF" w14:textId="77777777" w:rsidR="00813CB8" w:rsidRDefault="002B4BED">
    <w:pPr>
      <w:pBdr>
        <w:bottom w:val="single" w:sz="12" w:space="4" w:color="1C3660"/>
      </w:pBdr>
      <w:tabs>
        <w:tab w:val="right" w:pos="10244"/>
      </w:tabs>
    </w:pPr>
    <w:r>
      <w:rPr>
        <w:rFonts w:eastAsia="Calibri Light"/>
        <w:color w:val="1C3660"/>
        <w:sz w:val="30"/>
        <w:szCs w:val="30"/>
      </w:rPr>
      <w:t>JUNSON Capital| Blue Owl Technology Finance Corp.</w:t>
    </w:r>
    <w:r>
      <w:rPr>
        <w:rFonts w:eastAsia="Calibri Light"/>
        <w:color w:val="1C3660"/>
        <w:sz w:val="30"/>
        <w:szCs w:val="30"/>
      </w:rPr>
      <w:tab/>
      <w:t>2026Q3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AB2B9" w14:textId="77777777" w:rsidR="007F182B" w:rsidRDefault="00D83B8A">
    <w:pPr>
      <w:tabs>
        <w:tab w:val="right" w:pos="10244"/>
      </w:tabs>
    </w:pPr>
    <w:r>
      <w:rPr>
        <w:rFonts w:eastAsia="Calibri Light"/>
        <w:color w:val="1C3660"/>
        <w:sz w:val="64"/>
        <w:szCs w:val="64"/>
      </w:rPr>
      <w:t>JUNSON Capital</w:t>
    </w:r>
    <w:r>
      <w:tab/>
    </w:r>
    <w:r>
      <w:rPr>
        <w:noProof/>
      </w:rPr>
      <w:drawing>
        <wp:inline distT="0" distB="0" distL="0" distR="0" wp14:anchorId="6C2FB393" wp14:editId="7D08EFE1">
          <wp:extent cx="1569720" cy="676910"/>
          <wp:effectExtent l="0" t="0" r="0" b="0"/>
          <wp:docPr id="901" name="JUNSON Capit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JUNSON Capital logo"/>
                  <pic:cNvPicPr/>
                </pic:nvPicPr>
                <pic:blipFill>
                  <a:blip r:embed="rId1"/>
                  <a:stretch>
                    <a:fillRect/>
                  </a:stretch>
                </pic:blipFill>
                <pic:spPr>
                  <a:xfrm>
                    <a:off x="0" y="0"/>
                    <a:ext cx="1569720" cy="676910"/>
                  </a:xfrm>
                  <a:prstGeom prst="rect">
                    <a:avLst/>
                  </a:prstGeom>
                </pic:spPr>
              </pic:pic>
            </a:graphicData>
          </a:graphic>
        </wp:inline>
      </w:drawing>
    </w:r>
  </w:p>
  <w:p w14:paraId="69C72EF5" w14:textId="77777777" w:rsidR="007F182B" w:rsidRDefault="00D83B8A">
    <w:pPr>
      <w:spacing w:after="120"/>
    </w:pPr>
    <w:r>
      <w:rPr>
        <w:rFonts w:eastAsia="Calibri Light"/>
        <w:color w:val="179DD7"/>
        <w:sz w:val="64"/>
        <w:szCs w:val="64"/>
      </w:rPr>
      <w:t>Research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6AC4" w14:textId="77777777" w:rsidR="00813CB8" w:rsidRDefault="002B4BED">
    <w:pPr>
      <w:pBdr>
        <w:bottom w:val="single" w:sz="12" w:space="4" w:color="1C3660"/>
      </w:pBdr>
      <w:tabs>
        <w:tab w:val="right" w:pos="15176"/>
      </w:tabs>
    </w:pPr>
    <w:r>
      <w:rPr>
        <w:rFonts w:eastAsia="Calibri Light"/>
        <w:color w:val="1C3660"/>
        <w:sz w:val="30"/>
        <w:szCs w:val="30"/>
      </w:rPr>
      <w:t>JUNSON Capital| Blue Owl Technology Finance Corp.</w:t>
    </w:r>
    <w:r>
      <w:rPr>
        <w:rFonts w:eastAsia="Calibri Light"/>
        <w:color w:val="1C3660"/>
        <w:sz w:val="30"/>
        <w:szCs w:val="30"/>
      </w:rPr>
      <w:tab/>
      <w:t>2026Q3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6AC6" w14:textId="77777777" w:rsidR="00813CB8" w:rsidRDefault="002B4BED">
    <w:pPr>
      <w:pBdr>
        <w:bottom w:val="single" w:sz="12" w:space="4" w:color="1C3660"/>
      </w:pBdr>
      <w:tabs>
        <w:tab w:val="right" w:pos="10244"/>
      </w:tabs>
    </w:pPr>
    <w:r>
      <w:rPr>
        <w:rFonts w:eastAsia="Calibri Light"/>
        <w:color w:val="1C3660"/>
        <w:sz w:val="30"/>
        <w:szCs w:val="30"/>
      </w:rPr>
      <w:t>JUNSON Capital| Blue Owl Technology Finance Corp.</w:t>
    </w:r>
    <w:r>
      <w:rPr>
        <w:rFonts w:eastAsia="Calibri Light"/>
        <w:color w:val="1C3660"/>
        <w:sz w:val="30"/>
        <w:szCs w:val="30"/>
      </w:rPr>
      <w:tab/>
      <w:t>2026Q3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939F1"/>
    <w:multiLevelType w:val="hybridMultilevel"/>
    <w:tmpl w:val="1CC29196"/>
    <w:lvl w:ilvl="0" w:tplc="BE24F348">
      <w:start w:val="1"/>
      <w:numFmt w:val="bullet"/>
      <w:lvlText w:val="•"/>
      <w:lvlJc w:val="left"/>
      <w:pPr>
        <w:ind w:left="560" w:hanging="360"/>
      </w:pPr>
      <w:rPr>
        <w:rFonts w:ascii="Calibri Light" w:eastAsia="Calibri Light" w:hAnsi="Calibri Light" w:cs="Calibri Light"/>
      </w:rPr>
    </w:lvl>
    <w:lvl w:ilvl="1" w:tplc="D0A25C90">
      <w:start w:val="1"/>
      <w:numFmt w:val="bullet"/>
      <w:lvlText w:val="◦"/>
      <w:lvlJc w:val="left"/>
      <w:pPr>
        <w:ind w:left="980" w:hanging="320"/>
      </w:pPr>
      <w:rPr>
        <w:rFonts w:ascii="Calibri Light" w:eastAsia="Calibri Light" w:hAnsi="Calibri Light" w:cs="Calibri Light"/>
      </w:rPr>
    </w:lvl>
    <w:lvl w:ilvl="2" w:tplc="604A8F10">
      <w:numFmt w:val="decimal"/>
      <w:lvlText w:val=""/>
      <w:lvlJc w:val="left"/>
    </w:lvl>
    <w:lvl w:ilvl="3" w:tplc="EAB4B048">
      <w:numFmt w:val="decimal"/>
      <w:lvlText w:val=""/>
      <w:lvlJc w:val="left"/>
    </w:lvl>
    <w:lvl w:ilvl="4" w:tplc="36944352">
      <w:numFmt w:val="decimal"/>
      <w:lvlText w:val=""/>
      <w:lvlJc w:val="left"/>
    </w:lvl>
    <w:lvl w:ilvl="5" w:tplc="20468918">
      <w:numFmt w:val="decimal"/>
      <w:lvlText w:val=""/>
      <w:lvlJc w:val="left"/>
    </w:lvl>
    <w:lvl w:ilvl="6" w:tplc="FDFA167C">
      <w:numFmt w:val="decimal"/>
      <w:lvlText w:val=""/>
      <w:lvlJc w:val="left"/>
    </w:lvl>
    <w:lvl w:ilvl="7" w:tplc="0DEA36C6">
      <w:numFmt w:val="decimal"/>
      <w:lvlText w:val=""/>
      <w:lvlJc w:val="left"/>
    </w:lvl>
    <w:lvl w:ilvl="8" w:tplc="B39CDA3E">
      <w:numFmt w:val="decimal"/>
      <w:lvlText w:val=""/>
      <w:lvlJc w:val="left"/>
    </w:lvl>
  </w:abstractNum>
  <w:abstractNum w:abstractNumId="1" w15:restartNumberingAfterBreak="0">
    <w:nsid w:val="6F090047"/>
    <w:multiLevelType w:val="hybridMultilevel"/>
    <w:tmpl w:val="C3FE6D74"/>
    <w:lvl w:ilvl="0" w:tplc="70E2F6DC">
      <w:start w:val="1"/>
      <w:numFmt w:val="bullet"/>
      <w:lvlText w:val="•"/>
      <w:lvlJc w:val="left"/>
      <w:pPr>
        <w:ind w:left="360" w:hanging="200"/>
      </w:pPr>
    </w:lvl>
    <w:lvl w:ilvl="1" w:tplc="004814E4">
      <w:start w:val="1"/>
      <w:numFmt w:val="bullet"/>
      <w:lvlText w:val="◦"/>
      <w:lvlJc w:val="left"/>
      <w:pPr>
        <w:ind w:left="720" w:hanging="200"/>
      </w:pPr>
    </w:lvl>
    <w:lvl w:ilvl="2" w:tplc="C0C0FF9C">
      <w:numFmt w:val="decimal"/>
      <w:lvlText w:val=""/>
      <w:lvlJc w:val="left"/>
    </w:lvl>
    <w:lvl w:ilvl="3" w:tplc="C00C42FC">
      <w:numFmt w:val="decimal"/>
      <w:lvlText w:val=""/>
      <w:lvlJc w:val="left"/>
    </w:lvl>
    <w:lvl w:ilvl="4" w:tplc="4D1241B6">
      <w:numFmt w:val="decimal"/>
      <w:lvlText w:val=""/>
      <w:lvlJc w:val="left"/>
    </w:lvl>
    <w:lvl w:ilvl="5" w:tplc="32DEB5BC">
      <w:numFmt w:val="decimal"/>
      <w:lvlText w:val=""/>
      <w:lvlJc w:val="left"/>
    </w:lvl>
    <w:lvl w:ilvl="6" w:tplc="7CA078F8">
      <w:numFmt w:val="decimal"/>
      <w:lvlText w:val=""/>
      <w:lvlJc w:val="left"/>
    </w:lvl>
    <w:lvl w:ilvl="7" w:tplc="33F24674">
      <w:numFmt w:val="decimal"/>
      <w:lvlText w:val=""/>
      <w:lvlJc w:val="left"/>
    </w:lvl>
    <w:lvl w:ilvl="8" w:tplc="2DA4758A">
      <w:numFmt w:val="decimal"/>
      <w:lvlText w:val=""/>
      <w:lvlJc w:val="left"/>
    </w:lvl>
  </w:abstractNum>
  <w:abstractNum w:abstractNumId="2" w15:restartNumberingAfterBreak="0">
    <w:nsid w:val="7399747F"/>
    <w:multiLevelType w:val="hybridMultilevel"/>
    <w:tmpl w:val="F4087538"/>
    <w:lvl w:ilvl="0" w:tplc="845EAF96">
      <w:start w:val="1"/>
      <w:numFmt w:val="bullet"/>
      <w:lvlText w:val="●"/>
      <w:lvlJc w:val="left"/>
      <w:pPr>
        <w:ind w:left="720" w:hanging="360"/>
      </w:pPr>
    </w:lvl>
    <w:lvl w:ilvl="1" w:tplc="7C74CE64">
      <w:start w:val="1"/>
      <w:numFmt w:val="bullet"/>
      <w:lvlText w:val="○"/>
      <w:lvlJc w:val="left"/>
      <w:pPr>
        <w:ind w:left="1440" w:hanging="360"/>
      </w:pPr>
    </w:lvl>
    <w:lvl w:ilvl="2" w:tplc="7196EDBA">
      <w:start w:val="1"/>
      <w:numFmt w:val="bullet"/>
      <w:lvlText w:val="■"/>
      <w:lvlJc w:val="left"/>
      <w:pPr>
        <w:ind w:left="2160" w:hanging="360"/>
      </w:pPr>
    </w:lvl>
    <w:lvl w:ilvl="3" w:tplc="BF20CEAC">
      <w:start w:val="1"/>
      <w:numFmt w:val="bullet"/>
      <w:lvlText w:val="●"/>
      <w:lvlJc w:val="left"/>
      <w:pPr>
        <w:ind w:left="2880" w:hanging="360"/>
      </w:pPr>
    </w:lvl>
    <w:lvl w:ilvl="4" w:tplc="4B8496CE">
      <w:start w:val="1"/>
      <w:numFmt w:val="bullet"/>
      <w:lvlText w:val="○"/>
      <w:lvlJc w:val="left"/>
      <w:pPr>
        <w:ind w:left="3600" w:hanging="360"/>
      </w:pPr>
    </w:lvl>
    <w:lvl w:ilvl="5" w:tplc="E2825860">
      <w:start w:val="1"/>
      <w:numFmt w:val="bullet"/>
      <w:lvlText w:val="■"/>
      <w:lvlJc w:val="left"/>
      <w:pPr>
        <w:ind w:left="4320" w:hanging="360"/>
      </w:pPr>
    </w:lvl>
    <w:lvl w:ilvl="6" w:tplc="E1B806A0">
      <w:start w:val="1"/>
      <w:numFmt w:val="bullet"/>
      <w:lvlText w:val="●"/>
      <w:lvlJc w:val="left"/>
      <w:pPr>
        <w:ind w:left="5040" w:hanging="360"/>
      </w:pPr>
    </w:lvl>
    <w:lvl w:ilvl="7" w:tplc="62909FA2">
      <w:start w:val="1"/>
      <w:numFmt w:val="bullet"/>
      <w:lvlText w:val="●"/>
      <w:lvlJc w:val="left"/>
      <w:pPr>
        <w:ind w:left="5760" w:hanging="360"/>
      </w:pPr>
    </w:lvl>
    <w:lvl w:ilvl="8" w:tplc="A7C48904">
      <w:start w:val="1"/>
      <w:numFmt w:val="bullet"/>
      <w:lvlText w:val="●"/>
      <w:lvlJc w:val="left"/>
      <w:pPr>
        <w:ind w:left="6480" w:hanging="360"/>
      </w:pPr>
    </w:lvl>
  </w:abstractNum>
  <w:num w:numId="1" w16cid:durableId="271523707">
    <w:abstractNumId w:val="2"/>
    <w:lvlOverride w:ilvl="0">
      <w:startOverride w:val="1"/>
    </w:lvlOverride>
  </w:num>
  <w:num w:numId="2" w16cid:durableId="794178121">
    <w:abstractNumId w:val="0"/>
    <w:lvlOverride w:ilvl="0">
      <w:startOverride w:val="1"/>
    </w:lvlOverride>
  </w:num>
  <w:num w:numId="3" w16cid:durableId="18354107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B8"/>
    <w:rsid w:val="00003357"/>
    <w:rsid w:val="00031D92"/>
    <w:rsid w:val="00093B00"/>
    <w:rsid w:val="000B4444"/>
    <w:rsid w:val="000C70D2"/>
    <w:rsid w:val="000D59E5"/>
    <w:rsid w:val="001020C1"/>
    <w:rsid w:val="0011262A"/>
    <w:rsid w:val="00125C76"/>
    <w:rsid w:val="00125DC7"/>
    <w:rsid w:val="00125FC4"/>
    <w:rsid w:val="001670E4"/>
    <w:rsid w:val="00167E75"/>
    <w:rsid w:val="001942BE"/>
    <w:rsid w:val="001B7FE8"/>
    <w:rsid w:val="001C0960"/>
    <w:rsid w:val="001E32EC"/>
    <w:rsid w:val="00200231"/>
    <w:rsid w:val="002053E2"/>
    <w:rsid w:val="0021118C"/>
    <w:rsid w:val="002470F9"/>
    <w:rsid w:val="00271CF6"/>
    <w:rsid w:val="00290EB2"/>
    <w:rsid w:val="002B4BED"/>
    <w:rsid w:val="002C5B8E"/>
    <w:rsid w:val="002D3A52"/>
    <w:rsid w:val="00312B84"/>
    <w:rsid w:val="003546FA"/>
    <w:rsid w:val="003A029B"/>
    <w:rsid w:val="003A15BB"/>
    <w:rsid w:val="003A38D2"/>
    <w:rsid w:val="003F586E"/>
    <w:rsid w:val="0040619A"/>
    <w:rsid w:val="00426BC9"/>
    <w:rsid w:val="00436123"/>
    <w:rsid w:val="00482BF0"/>
    <w:rsid w:val="004A3815"/>
    <w:rsid w:val="004D0DF4"/>
    <w:rsid w:val="004E0F79"/>
    <w:rsid w:val="004F0521"/>
    <w:rsid w:val="0058676C"/>
    <w:rsid w:val="005A203D"/>
    <w:rsid w:val="005A4A1F"/>
    <w:rsid w:val="005A7589"/>
    <w:rsid w:val="005B47D1"/>
    <w:rsid w:val="005C0CB0"/>
    <w:rsid w:val="005F087C"/>
    <w:rsid w:val="005F1050"/>
    <w:rsid w:val="00600293"/>
    <w:rsid w:val="00600904"/>
    <w:rsid w:val="006132CF"/>
    <w:rsid w:val="00615CD8"/>
    <w:rsid w:val="00636FA1"/>
    <w:rsid w:val="0064251F"/>
    <w:rsid w:val="00673CC8"/>
    <w:rsid w:val="006A0191"/>
    <w:rsid w:val="006B0475"/>
    <w:rsid w:val="006C5D8B"/>
    <w:rsid w:val="006C5FE8"/>
    <w:rsid w:val="007110D8"/>
    <w:rsid w:val="0074676D"/>
    <w:rsid w:val="00763487"/>
    <w:rsid w:val="00784E0E"/>
    <w:rsid w:val="007A4B1B"/>
    <w:rsid w:val="007C0FF8"/>
    <w:rsid w:val="007C2132"/>
    <w:rsid w:val="007C5904"/>
    <w:rsid w:val="007F182B"/>
    <w:rsid w:val="007F3484"/>
    <w:rsid w:val="00806816"/>
    <w:rsid w:val="00810410"/>
    <w:rsid w:val="00813CB8"/>
    <w:rsid w:val="0082667F"/>
    <w:rsid w:val="00827F6F"/>
    <w:rsid w:val="008314D7"/>
    <w:rsid w:val="008714B0"/>
    <w:rsid w:val="0088379B"/>
    <w:rsid w:val="008E54CE"/>
    <w:rsid w:val="00946B7D"/>
    <w:rsid w:val="009478FA"/>
    <w:rsid w:val="00966F1D"/>
    <w:rsid w:val="0097486D"/>
    <w:rsid w:val="009843E5"/>
    <w:rsid w:val="009F0196"/>
    <w:rsid w:val="00A314E9"/>
    <w:rsid w:val="00A9006E"/>
    <w:rsid w:val="00A95B1D"/>
    <w:rsid w:val="00AE0204"/>
    <w:rsid w:val="00AE4134"/>
    <w:rsid w:val="00B42A76"/>
    <w:rsid w:val="00B47B94"/>
    <w:rsid w:val="00BF5E42"/>
    <w:rsid w:val="00BF7850"/>
    <w:rsid w:val="00C27C7A"/>
    <w:rsid w:val="00C40977"/>
    <w:rsid w:val="00C40B66"/>
    <w:rsid w:val="00C4663E"/>
    <w:rsid w:val="00C556CD"/>
    <w:rsid w:val="00C84E7C"/>
    <w:rsid w:val="00CC46C3"/>
    <w:rsid w:val="00CE5FEA"/>
    <w:rsid w:val="00D04017"/>
    <w:rsid w:val="00D06374"/>
    <w:rsid w:val="00D74F4C"/>
    <w:rsid w:val="00D756EA"/>
    <w:rsid w:val="00D83B8A"/>
    <w:rsid w:val="00D8451A"/>
    <w:rsid w:val="00DB7372"/>
    <w:rsid w:val="00DD18AA"/>
    <w:rsid w:val="00DE2F6C"/>
    <w:rsid w:val="00DE5865"/>
    <w:rsid w:val="00DF1B5E"/>
    <w:rsid w:val="00E03A8E"/>
    <w:rsid w:val="00E4018A"/>
    <w:rsid w:val="00E413C3"/>
    <w:rsid w:val="00E4518F"/>
    <w:rsid w:val="00E47759"/>
    <w:rsid w:val="00E53120"/>
    <w:rsid w:val="00E5576B"/>
    <w:rsid w:val="00E82790"/>
    <w:rsid w:val="00E859AC"/>
    <w:rsid w:val="00EB0A6D"/>
    <w:rsid w:val="00F01D14"/>
    <w:rsid w:val="00F677C6"/>
    <w:rsid w:val="00FD7567"/>
    <w:rsid w:val="00FE630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36797"/>
  <w15:docId w15:val="{E448CCCA-4B51-4BD3-90E7-FD16E7E3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Calibri Light"/>
        <w:sz w:val="32"/>
        <w:szCs w:val="3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1942BE"/>
    <w:pPr>
      <w:tabs>
        <w:tab w:val="center" w:pos="4513"/>
        <w:tab w:val="right" w:pos="9026"/>
      </w:tabs>
      <w:snapToGrid w:val="0"/>
      <w:jc w:val="center"/>
    </w:pPr>
    <w:rPr>
      <w:sz w:val="18"/>
      <w:szCs w:val="18"/>
    </w:rPr>
  </w:style>
  <w:style w:type="character" w:customStyle="1" w:styleId="ad">
    <w:name w:val="页眉 字符"/>
    <w:basedOn w:val="a0"/>
    <w:link w:val="ac"/>
    <w:uiPriority w:val="99"/>
    <w:rsid w:val="001942BE"/>
    <w:rPr>
      <w:sz w:val="18"/>
      <w:szCs w:val="18"/>
    </w:rPr>
  </w:style>
  <w:style w:type="paragraph" w:styleId="ae">
    <w:name w:val="footer"/>
    <w:basedOn w:val="a"/>
    <w:link w:val="af"/>
    <w:uiPriority w:val="99"/>
    <w:unhideWhenUsed/>
    <w:rsid w:val="001942BE"/>
    <w:pPr>
      <w:tabs>
        <w:tab w:val="center" w:pos="4513"/>
        <w:tab w:val="right" w:pos="9026"/>
      </w:tabs>
      <w:snapToGrid w:val="0"/>
    </w:pPr>
    <w:rPr>
      <w:sz w:val="18"/>
      <w:szCs w:val="18"/>
    </w:rPr>
  </w:style>
  <w:style w:type="character" w:customStyle="1" w:styleId="af">
    <w:name w:val="页脚 字符"/>
    <w:basedOn w:val="a0"/>
    <w:link w:val="ae"/>
    <w:uiPriority w:val="99"/>
    <w:rsid w:val="001942B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emafor.com/article/07/02/2026/blue-owl-hit-by-billions-in-redemptions-again" TargetMode="External"/><Relationship Id="rId18" Type="http://schemas.openxmlformats.org/officeDocument/2006/relationships/hyperlink" Target="https://in.investing.com/news/stock-market-news/thoma-bravos-51b-medallia-wipeout-deepens-software-private-credit-reckoning-5355406" TargetMode="External"/><Relationship Id="rId26" Type="http://schemas.openxmlformats.org/officeDocument/2006/relationships/hyperlink" Target="https://www.bain.com/insights/100-billion-saas-opportunity-hiding-in-cross-system-labor/" TargetMode="External"/><Relationship Id="rId39" Type="http://schemas.openxmlformats.org/officeDocument/2006/relationships/image" Target="media/image10.png"/><Relationship Id="rId21" Type="http://schemas.openxmlformats.org/officeDocument/2006/relationships/hyperlink" Target="https://www.privateequitywire.co.uk/private-credit-avoids-worst-case-scenario-as-bdc-results-point-to-stabilisation/" TargetMode="External"/><Relationship Id="rId34" Type="http://schemas.openxmlformats.org/officeDocument/2006/relationships/image" Target="media/image5.png"/><Relationship Id="rId42" Type="http://schemas.openxmlformats.org/officeDocument/2006/relationships/header" Target="header2.xml"/><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image" Target="media/image21.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bloomberg.com/news/articles/2026-06-08/blue-owl-fund-hit-by-redemptions-set-to-sell-500-million-bond" TargetMode="External"/><Relationship Id="rId29" Type="http://schemas.openxmlformats.org/officeDocument/2006/relationships/hyperlink" Target="https://www.techtimes.com/articles/320956/20260719/gemini-enterprise-agent-platform-leads-enterprise-ai-governance-openai-starts-billing-agents.htm" TargetMode="External"/><Relationship Id="rId11" Type="http://schemas.openxmlformats.org/officeDocument/2006/relationships/hyperlink" Target="https://www.investmentnews.com/regulation-legal-compliance/investors-sue-blue-owl-adviser-allege-inflated-marks-drove-windfall-fees/267109" TargetMode="External"/><Relationship Id="rId24" Type="http://schemas.openxmlformats.org/officeDocument/2006/relationships/hyperlink" Target="https://www.cnbc.com/2026/04/09/anthropic-new-ai-agent-software-stocks-selloff.html" TargetMode="Externa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header" Target="header1.xml"/><Relationship Id="rId45" Type="http://schemas.openxmlformats.org/officeDocument/2006/relationships/footer" Target="footer3.xml"/><Relationship Id="rId53" Type="http://schemas.openxmlformats.org/officeDocument/2006/relationships/image" Target="media/image19.png"/><Relationship Id="rId58" Type="http://schemas.openxmlformats.org/officeDocument/2006/relationships/header" Target="header4.xml"/><Relationship Id="rId5" Type="http://schemas.openxmlformats.org/officeDocument/2006/relationships/styles" Target="styles.xml"/><Relationship Id="rId61" Type="http://schemas.openxmlformats.org/officeDocument/2006/relationships/theme" Target="theme/theme1.xml"/><Relationship Id="rId19" Type="http://schemas.openxmlformats.org/officeDocument/2006/relationships/hyperlink" Target="https://www.privateequitywire.co.uk/blackstone-and-kkr-to-assume-control-of-dental-group-affordable-care/" TargetMode="External"/><Relationship Id="rId14" Type="http://schemas.openxmlformats.org/officeDocument/2006/relationships/hyperlink" Target="https://www.businesswire.com/news/home/20260602365356/en/KBRA-Assigns-Rating-to-Blue-Owl-Technology-Finance-Corp.s-$500-Million-Senior-Unsecured-Notes-due-2029" TargetMode="External"/><Relationship Id="rId22" Type="http://schemas.openxmlformats.org/officeDocument/2006/relationships/hyperlink" Target="https://octus.com/resources/articles/litigation-coverage-ares-capital-corp-investor-accuses-bdc-advisor-of-collecting-excessive-fees-inflating-marks-masking-leverage/" TargetMode="External"/><Relationship Id="rId27" Type="http://schemas.openxmlformats.org/officeDocument/2006/relationships/hyperlink" Target="https://hbr.org/2026/05/ais-impact-on-saas-will-be-uneven-heres-what-leaders-need-to-know" TargetMode="External"/><Relationship Id="rId30" Type="http://schemas.openxmlformats.org/officeDocument/2006/relationships/hyperlink" Target="https://www.bloomberg.com/graphics/2026-ai-private-equity-software/" TargetMode="External"/><Relationship Id="rId35" Type="http://schemas.openxmlformats.org/officeDocument/2006/relationships/image" Target="media/image6.png"/><Relationship Id="rId43" Type="http://schemas.openxmlformats.org/officeDocument/2006/relationships/footer" Target="footer2.xml"/><Relationship Id="rId48" Type="http://schemas.openxmlformats.org/officeDocument/2006/relationships/image" Target="media/image14.png"/><Relationship Id="rId56" Type="http://schemas.openxmlformats.org/officeDocument/2006/relationships/image" Target="media/image22.png"/><Relationship Id="rId8" Type="http://schemas.openxmlformats.org/officeDocument/2006/relationships/footnotes" Target="footnotes.xml"/><Relationship Id="rId51" Type="http://schemas.openxmlformats.org/officeDocument/2006/relationships/image" Target="media/image17.png"/><Relationship Id="rId3" Type="http://schemas.openxmlformats.org/officeDocument/2006/relationships/customXml" Target="../customXml/item3.xml"/><Relationship Id="rId12" Type="http://schemas.openxmlformats.org/officeDocument/2006/relationships/hyperlink" Target="https://www.prnewswire.com/news-releases/blue-owl-technology-finance-corp-announces-june-30-2026-financial-results-302844208.html" TargetMode="External"/><Relationship Id="rId17" Type="http://schemas.openxmlformats.org/officeDocument/2006/relationships/hyperlink" Target="https://cryptobriefing.com/ubs-blue-owl-private-credit-exodus/" TargetMode="External"/><Relationship Id="rId25" Type="http://schemas.openxmlformats.org/officeDocument/2006/relationships/hyperlink" Target="https://www.bain.com/insights/ai-brings-headwinds-and-tailwinds-to-the-rule-of-40/" TargetMode="Externa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image" Target="media/image12.png"/><Relationship Id="rId59" Type="http://schemas.openxmlformats.org/officeDocument/2006/relationships/footer" Target="footer4.xml"/><Relationship Id="rId20" Type="http://schemas.openxmlformats.org/officeDocument/2006/relationships/hyperlink" Target="https://www.privateequitywire.co.uk/private-credit-avoids-worst-case-scenario-as-bdc-results-point-to-stabilisation/" TargetMode="External"/><Relationship Id="rId41" Type="http://schemas.openxmlformats.org/officeDocument/2006/relationships/footer" Target="footer1.xml"/><Relationship Id="rId54"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alternativecreditinvestor.com/2026/04/08/blue-owl-private-credit-fund-outlook-cut-by-moodys-after-investor-redemption-surge/" TargetMode="External"/><Relationship Id="rId23" Type="http://schemas.openxmlformats.org/officeDocument/2006/relationships/hyperlink" Target="https://www.privateequitywire.co.uk/private-credit-avoids-worst-case-scenario-as-bdc-results-point-to-stabilisation/" TargetMode="External"/><Relationship Id="rId28" Type="http://schemas.openxmlformats.org/officeDocument/2006/relationships/hyperlink" Target="https://www.bain.com/insights/how-will-ai-change-software-organizations/" TargetMode="External"/><Relationship Id="rId36" Type="http://schemas.openxmlformats.org/officeDocument/2006/relationships/image" Target="media/image7.png"/><Relationship Id="rId49" Type="http://schemas.openxmlformats.org/officeDocument/2006/relationships/image" Target="media/image15.png"/><Relationship Id="rId57" Type="http://schemas.openxmlformats.org/officeDocument/2006/relationships/image" Target="media/image23.png"/><Relationship Id="rId10" Type="http://schemas.openxmlformats.org/officeDocument/2006/relationships/image" Target="media/image1.png"/><Relationship Id="rId31" Type="http://schemas.openxmlformats.org/officeDocument/2006/relationships/image" Target="media/image2.png"/><Relationship Id="rId44" Type="http://schemas.openxmlformats.org/officeDocument/2006/relationships/header" Target="header3.xml"/><Relationship Id="rId52" Type="http://schemas.openxmlformats.org/officeDocument/2006/relationships/image" Target="media/image18.png"/><Relationship Id="rId6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fbb1062-41e6-432c-9c43-d324a8966ea8">
      <Terms xmlns="http://schemas.microsoft.com/office/infopath/2007/PartnerControls"/>
    </lcf76f155ced4ddcb4097134ff3c332f>
    <TaxCatchAll xmlns="99780c3d-ce84-4612-bd1f-c1310cd1ad1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81D05CCF851AC4192721B5C18719E0A" ma:contentTypeVersion="14" ma:contentTypeDescription="Create a new document." ma:contentTypeScope="" ma:versionID="78520571c042d76978e9ec0fe631ebdf">
  <xsd:schema xmlns:xsd="http://www.w3.org/2001/XMLSchema" xmlns:xs="http://www.w3.org/2001/XMLSchema" xmlns:p="http://schemas.microsoft.com/office/2006/metadata/properties" xmlns:ns2="bfbb1062-41e6-432c-9c43-d324a8966ea8" xmlns:ns3="99780c3d-ce84-4612-bd1f-c1310cd1ad15" targetNamespace="http://schemas.microsoft.com/office/2006/metadata/properties" ma:root="true" ma:fieldsID="956673cc0575f07931f680defeba172c" ns2:_="" ns3:_="">
    <xsd:import namespace="bfbb1062-41e6-432c-9c43-d324a8966ea8"/>
    <xsd:import namespace="99780c3d-ce84-4612-bd1f-c1310cd1ad1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bb1062-41e6-432c-9c43-d324a8966e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af81b6-6ddb-4c7c-9707-17f1317d6bd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9780c3d-ce84-4612-bd1f-c1310cd1ad1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63fe86c-0038-4a3d-9f4e-054dcbe1eede}" ma:internalName="TaxCatchAll" ma:showField="CatchAllData" ma:web="99780c3d-ce84-4612-bd1f-c1310cd1ad1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9D1CB7-E710-4AA5-80D7-24062401CA9E}">
  <ds:schemaRefs>
    <ds:schemaRef ds:uri="http://schemas.microsoft.com/office/2006/metadata/properties"/>
    <ds:schemaRef ds:uri="http://schemas.microsoft.com/office/infopath/2007/PartnerControls"/>
    <ds:schemaRef ds:uri="bfbb1062-41e6-432c-9c43-d324a8966ea8"/>
    <ds:schemaRef ds:uri="99780c3d-ce84-4612-bd1f-c1310cd1ad15"/>
  </ds:schemaRefs>
</ds:datastoreItem>
</file>

<file path=customXml/itemProps2.xml><?xml version="1.0" encoding="utf-8"?>
<ds:datastoreItem xmlns:ds="http://schemas.openxmlformats.org/officeDocument/2006/customXml" ds:itemID="{DD7333CA-5C54-42DA-B439-62B57228FCF6}"/>
</file>

<file path=customXml/itemProps3.xml><?xml version="1.0" encoding="utf-8"?>
<ds:datastoreItem xmlns:ds="http://schemas.openxmlformats.org/officeDocument/2006/customXml" ds:itemID="{5E982A6A-FAAC-4A4B-8006-D22B488382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9644</Words>
  <Characters>54976</Characters>
  <Application>Microsoft Office Word</Application>
  <DocSecurity>0</DocSecurity>
  <Lines>458</Lines>
  <Paragraphs>128</Paragraphs>
  <ScaleCrop>false</ScaleCrop>
  <Company/>
  <LinksUpToDate>false</LinksUpToDate>
  <CharactersWithSpaces>64492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Alex Lin (Intern)</cp:lastModifiedBy>
  <cp:revision>2</cp:revision>
  <cp:lastPrinted>2026-08-18T10:10:00Z</cp:lastPrinted>
  <dcterms:created xsi:type="dcterms:W3CDTF">2026-08-18T10:11:00Z</dcterms:created>
  <dcterms:modified xsi:type="dcterms:W3CDTF">2026-08-18T10:11:00Z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0x010100881D05CCF851AC4192721B5C18719E0A</vt:lpwstr>
  </property>
  <property fmtid="{D5CDD505-2E9C-101B-9397-08002B2CF9AE}" pid="3" name="MediaServiceImageTags">
    <vt:lpwstr/>
  </property>
</Properties>
</file>