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E419" w14:textId="77777777" w:rsidR="007F182B" w:rsidRPr="00312B84" w:rsidRDefault="00D83B8A">
      <w:pPr>
        <w:tabs>
          <w:tab w:val="right" w:pos="10244"/>
        </w:tabs>
        <w:spacing w:before="200" w:after="60"/>
        <w:rPr>
          <w:sz w:val="24"/>
          <w:szCs w:val="24"/>
        </w:rPr>
      </w:pPr>
      <w:r>
        <w:rPr>
          <w:rFonts w:eastAsia="Calibri Light"/>
          <w:color w:val="1C3660"/>
          <w:sz w:val="52"/>
          <w:szCs w:val="52"/>
        </w:rPr>
        <w:t xml:space="preserve">Blue Owl Technology Finance Corp. </w:t>
      </w:r>
      <w:r>
        <w:rPr>
          <w:rFonts w:eastAsia="Calibri Light"/>
          <w:color w:val="1C3660"/>
          <w:sz w:val="28"/>
          <w:szCs w:val="28"/>
        </w:rPr>
        <w:t>(NYSE: OTF)</w:t>
      </w:r>
      <w:r>
        <w:rPr>
          <w:rFonts w:eastAsia="Calibri Light"/>
          <w:color w:val="1C3660"/>
          <w:sz w:val="22"/>
          <w:szCs w:val="22"/>
        </w:rPr>
        <w:tab/>
        <w:t>17 Aug,2026</w:t>
      </w:r>
    </w:p>
    <w:p w14:paraId="3FAF862C" w14:textId="77777777" w:rsidR="007F182B" w:rsidRPr="00312B84" w:rsidRDefault="00D83B8A">
      <w:pPr>
        <w:spacing w:before="40" w:after="20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E1524E" wp14:editId="0A1F41E5">
            <wp:extent cx="6504940" cy="214028"/>
            <wp:effectExtent l="0" t="0" r="0" b="0"/>
            <wp:docPr id="902" name="cover gradient b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cover gradient ban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21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6798" w14:textId="77777777" w:rsidR="00813CB8" w:rsidRPr="00312B84" w:rsidRDefault="002B4BED">
      <w:pPr>
        <w:spacing w:after="80"/>
        <w:rPr>
          <w:sz w:val="24"/>
          <w:szCs w:val="24"/>
        </w:rPr>
      </w:pPr>
      <w:r>
        <w:rPr>
          <w:rFonts w:eastAsia="Calibri Light"/>
          <w:color w:val="1C3660"/>
          <w:sz w:val="24"/>
          <w:szCs w:val="24"/>
        </w:rPr>
        <w:t>Software &amp; OTF Quarterly Update — 2026Q2 review, published 17 August 2026</w:t>
      </w:r>
    </w:p>
    <w:p w14:paraId="6EB367A8" w14:textId="7C56D0DE" w:rsidR="00813CB8" w:rsidRPr="00312B84" w:rsidRDefault="002B4BED">
      <w:pPr>
        <w:pStyle w:val="Heading1"/>
        <w:spacing w:before="620" w:after="16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40"/>
          <w:szCs w:val="40"/>
        </w:rPr>
        <w:t>1. 新闻</w:t>
      </w:r>
    </w:p>
    <w:p w14:paraId="6EB367A9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1.1 Blue Owl 与 OTF 关键新闻</w:t>
      </w:r>
    </w:p>
    <w:p w14:paraId="6EB367AA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b/>
          <w:bCs/>
          <w:color w:val="000000"/>
          <w:sz w:val="18"/>
          <w:szCs w:val="18"/>
        </w:rPr>
        <w:t>首起直接针对 OTF 投资顾问的超额收费诉讼立案。</w:t>
      </w:r>
      <w:r>
        <w:rPr>
          <w:rFonts w:eastAsia="Calibri Light"/>
          <w:color w:val="000000"/>
          <w:sz w:val="18"/>
          <w:szCs w:val="18"/>
        </w:rPr>
        <w:t>6 月 18 日，两名股东在纽约南区法院依据《投资公司法》Section 36(b) 起诉 Blue Owl Technology Credit Advisors，指控其虚高资产估值以抽取费用：2021 至 2025 年顾问费增长 191%，而资产仅增长 134%；且费用按 PIK 应计计提 —— Q1'26 PIK 应计约 $43mm，约占净投资收益的 25%。这使上季度原告律所的调查通知升级为对 OTF Level-3 估值的取证风险 —— 不过历史上 Section 36(b) 原告从未在庭审中胜诉，短期经济影响不变。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11" w:history="1">
        <w:r>
          <w:rPr>
            <w:rFonts w:eastAsia="Calibri Light"/>
            <w:color w:val="179DD7"/>
            <w:sz w:val="18"/>
            <w:szCs w:val="18"/>
            <w:u w:val="single"/>
          </w:rPr>
          <w:t>investmentnews.com</w:t>
        </w:r>
      </w:hyperlink>
    </w:p>
    <w:p w14:paraId="6EB367AB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Q2'26 业绩（8 月 5 日）：NAV $16.48 vs 上季 $16.49；NII $0.30；非应计率成本口径 0.6%、公允值口径 0.1%；净杠杆 0.93x；本季回购股票 $55mm，近三个季度累计约 $170mm。股价当日上涨 7.4% 至 $11.20，仍约为 0.7x NAV；管理层指出当前折价隐含约 40% 的组合违约率（回收率按 50 美分计），并预计锁定期相关抛售将逐步消退。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12" w:history="1">
        <w:r>
          <w:rPr>
            <w:rFonts w:eastAsia="Calibri Light"/>
            <w:color w:val="179DD7"/>
            <w:sz w:val="18"/>
            <w:szCs w:val="18"/>
            <w:u w:val="single"/>
          </w:rPr>
          <w:t>prnewswire.com</w:t>
        </w:r>
      </w:hyperlink>
    </w:p>
    <w:p w14:paraId="6EB367AC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Blue Owl 非交易型科技信贷基金连续第二个季度触及赎回上限（7 月 2 日披露）：OCIC 赎回申请从 21.9% 降至 18.8%，OTIC 从 40.7% 降至 38.1%，两者合计 $4.7bn（1Q 为 $5.4bn）；两只基金再次仅兑付 5% 的季度上限。OCIC 持有 $11.6bn 现金及额度，按上限约可支撑十二个季度。品牌层面的赎回压力在企稳，但尚未解除；3Q 申请数据约于 10 月初公布。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13" w:history="1">
        <w:r>
          <w:rPr>
            <w:rFonts w:eastAsia="Calibri Light"/>
            <w:color w:val="179DD7"/>
            <w:sz w:val="18"/>
            <w:szCs w:val="18"/>
            <w:u w:val="single"/>
          </w:rPr>
          <w:t>semafor.com</w:t>
        </w:r>
      </w:hyperlink>
    </w:p>
    <w:p w14:paraId="6EB367AD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OTF 于 6 月初定价发行 $500mm 6.50% 2029 年 10 月到期高级无担保票据；KBRA 授予 BBB 评级。在板块赎回压力下仍能以 6% 中段票息进入无担保投资级市场，是融资端的正面验证，但资金成本高于存量债务的大部分。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14" w:history="1">
        <w:r>
          <w:rPr>
            <w:rFonts w:eastAsia="Calibri Light"/>
            <w:color w:val="179DD7"/>
            <w:sz w:val="18"/>
            <w:szCs w:val="18"/>
            <w:u w:val="single"/>
          </w:rPr>
          <w:t>businesswire.com</w:t>
        </w:r>
      </w:hyperlink>
    </w:p>
    <w:p w14:paraId="6EB367AE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Moody's 于 4 月 8 日将 OCIC 展望下调至负面（维持 Baa2），理由是同业最高的赎回申请及预期的资本流失 —— 这是评级机构首次承认赎回潮对 Blue Owl 非交易型载体构成信用问题。OTF 层面未有评级行动；向 OTF 的传染渠道是声誉与融资成本，而非直接冲击。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15" w:history="1">
        <w:r>
          <w:rPr>
            <w:rFonts w:eastAsia="Calibri Light"/>
            <w:color w:val="179DD7"/>
            <w:sz w:val="18"/>
            <w:szCs w:val="18"/>
            <w:u w:val="single"/>
          </w:rPr>
          <w:t>alternativecreditinvestor.com</w:t>
        </w:r>
      </w:hyperlink>
    </w:p>
    <w:p w14:paraId="6EB367AF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OCIC 本身于 6 月 8 日重返投资级债券市场，发行 $500mm 5 年期票据，利差约 T+255；Blue Owl Capital 二季度业绩超预期，股价自 7 月低点回升约 21% —— 管理人层面的特许经营价值比赎回叙事所暗示的更有韧性。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16" w:history="1">
        <w:r>
          <w:rPr>
            <w:rFonts w:eastAsia="Calibri Light"/>
            <w:color w:val="179DD7"/>
            <w:sz w:val="18"/>
            <w:szCs w:val="18"/>
            <w:u w:val="single"/>
          </w:rPr>
          <w:t>bloomberg.com</w:t>
        </w:r>
      </w:hyperlink>
    </w:p>
    <w:p w14:paraId="6EB367B0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卖方的尾部风险叙事仍在延续：UBS 7 月的一份报告认为软件占比高的私募信贷基金违约率可能达约 15%，并援引 Blue Owl 2Q $4.7bn 的赎回申请。该说法单一来源、未经验证，但无论 OTF 公允值口径非应计率仅 0.1%，它都让软件信贷叙事持续压制股价。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17" w:history="1">
        <w:r>
          <w:rPr>
            <w:rFonts w:eastAsia="Calibri Light"/>
            <w:color w:val="179DD7"/>
            <w:sz w:val="18"/>
            <w:szCs w:val="18"/>
            <w:u w:val="single"/>
          </w:rPr>
          <w:t>cryptobriefing.com</w:t>
        </w:r>
      </w:hyperlink>
    </w:p>
    <w:p w14:paraId="6EB367B1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1.2 私募信贷关键新闻</w:t>
      </w:r>
    </w:p>
    <w:p w14:paraId="6EB367B2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b/>
          <w:bCs/>
          <w:color w:val="000000"/>
          <w:sz w:val="18"/>
          <w:szCs w:val="18"/>
        </w:rPr>
        <w:t>Medallia 移交贷款人 —— $5.1bn 股权清零。</w:t>
      </w:r>
      <w:r>
        <w:rPr>
          <w:rFonts w:eastAsia="Calibri Light"/>
          <w:color w:val="000000"/>
          <w:sz w:val="18"/>
          <w:szCs w:val="18"/>
        </w:rPr>
        <w:t>Thoma Bravo 于 4 月下旬同意将这家 2021 年以 $6.4bn 收购的客户体验软件公司移交给持有 $3bn 债务的债权人 Blackstone、KKR、Apollo 与 Antares；此前 BDC 对相关贷款的估值在 74–79 美分。这是本轮周期最大的软件 LBO 股权清零案例，直接证明 2021 年份的软件并购债务正是私募信贷损失兑现之处 —— 全市场困境软件贷款规模已近 $47bn。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18" w:history="1">
        <w:r>
          <w:rPr>
            <w:rFonts w:eastAsia="Calibri Light"/>
            <w:color w:val="179DD7"/>
            <w:sz w:val="18"/>
            <w:szCs w:val="18"/>
            <w:u w:val="single"/>
          </w:rPr>
          <w:t>in.investing.com</w:t>
        </w:r>
      </w:hyperlink>
    </w:p>
    <w:p w14:paraId="6EB367B3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Affordable Care 于 4 月对一笔 $1.4bn 私募信贷贷款违约，Blackstone 与 KKR 正接管这家 Harvest Partners 2021 年以约 $2.7bn 收购的牙科服务公司 —— 压力并非软件独有；2021 年份的医疗服务 unitranche 贷款同样在违约。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19" w:history="1">
        <w:r>
          <w:rPr>
            <w:rFonts w:eastAsia="Calibri Light"/>
            <w:color w:val="179DD7"/>
            <w:sz w:val="18"/>
            <w:szCs w:val="18"/>
            <w:u w:val="single"/>
          </w:rPr>
          <w:t>privateequitywire.co.uk</w:t>
        </w:r>
      </w:hyperlink>
    </w:p>
    <w:p w14:paraId="6EB367B4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KKR 随二季度业绩向 FS KKR 注入 $300mm 发起人资本 —— 本轮下行周期首个大规模的显性发起人支持行动。JPM 信用团队将此类管理人支持解读为全行业的兜底机制；但这也等于承认 BDC 资产负债表需要母公司资本。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20" w:history="1">
        <w:r>
          <w:rPr>
            <w:rFonts w:eastAsia="Calibri Light"/>
            <w:color w:val="179DD7"/>
            <w:sz w:val="18"/>
            <w:szCs w:val="18"/>
            <w:u w:val="single"/>
          </w:rPr>
          <w:t>privateequitywire.co.uk</w:t>
        </w:r>
      </w:hyperlink>
    </w:p>
    <w:p w14:paraId="6EB367B5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lastRenderedPageBreak/>
        <w:t>蓝筹平台的估值在 2Q 出现松动：Blackstone Secured Lending 录得六年来最大单季 NAV 降幅，其最差十分位持仓估值从 73 美分下调至 70 美分；BlackRock TCP 将一个 $523mm 贷款池的 48% 移入续接基金（continuation vehicle）—— 针对信用尾部的流动性工程正在蔓延，并可能引发估值管理争议。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21" w:history="1">
        <w:r>
          <w:rPr>
            <w:rFonts w:eastAsia="Calibri Light"/>
            <w:color w:val="179DD7"/>
            <w:sz w:val="18"/>
            <w:szCs w:val="18"/>
            <w:u w:val="single"/>
          </w:rPr>
          <w:t>privateequitywire.co.uk</w:t>
        </w:r>
      </w:hyperlink>
    </w:p>
    <w:p w14:paraId="6EB367B6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BDC 诉讼潮蔓延至 Blue Owl 之外：5 月针对 Ares Capital 投资顾问的 Section 36(b) 诉讼指控其费用增长 53% 至 $773mm、穿透杠杆 2.06x（表观仅 1.12x）；BlackRock TCP、Hercules 与 FS KKR 亦面临证券集体诉讼 —— Level-3 估值与 PIK 挂钩费用已成为全行业法律主题。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22" w:history="1">
        <w:r>
          <w:rPr>
            <w:rFonts w:eastAsia="Calibri Light"/>
            <w:color w:val="179DD7"/>
            <w:sz w:val="18"/>
            <w:szCs w:val="18"/>
            <w:u w:val="single"/>
          </w:rPr>
          <w:t>octus.com</w:t>
        </w:r>
      </w:hyperlink>
    </w:p>
    <w:p w14:paraId="6EB367B7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2Q BDC 财报季整体读作企稳而非解除警报：成本口径非应计率 ARCC 升至 2.4%、OBDC 升至 2.8%，FS KKR 与 Oaktree 改善；新增投放依旧低迷，Blue Owl 旗下载体还款 $747mm 而新增承诺仅 $319mm。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23" w:history="1">
        <w:r>
          <w:rPr>
            <w:rFonts w:eastAsia="Calibri Light"/>
            <w:color w:val="179DD7"/>
            <w:sz w:val="18"/>
            <w:szCs w:val="18"/>
            <w:u w:val="single"/>
          </w:rPr>
          <w:t>privateequitywire.co.uk</w:t>
        </w:r>
      </w:hyperlink>
    </w:p>
    <w:p w14:paraId="6EB367B8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1.3 AI 相关新闻</w:t>
      </w:r>
    </w:p>
    <w:p w14:paraId="6EB367B9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企业软件支出正被重新定价为『代币化劳动力』：某头部大模型公司收入 run-rate 突破 $30bn（2025 年底为 $9bn），托管代理（managed-agent）工具大幅压缩企业构建 agent 的时间；自 2025 年初以来约 $1.4tn 的 SaaS 市值已被重定价，如今每家应用软件公司面对的需求问题是：agent 会先吞掉哪些工作流。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24" w:history="1">
        <w:r>
          <w:rPr>
            <w:rFonts w:eastAsia="Calibri Light"/>
            <w:color w:val="179DD7"/>
            <w:sz w:val="18"/>
            <w:szCs w:val="18"/>
            <w:u w:val="single"/>
          </w:rPr>
          <w:t>cnbc.com</w:t>
        </w:r>
      </w:hyperlink>
    </w:p>
    <w:p w14:paraId="6EB367BA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SaaS 的经济模型正被从成本端改写：AI 推理为约 80% 毛利率的业务首次引入真实的可变销货成本 —— 一家营销技术公司收入增长 38% 而成本上升 349% —— 推动行业在向 AI 原生对手再投资的过渡期转向『Rule of 30』；需要承保的变量从增长变成毛利率的持久性。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25" w:history="1">
        <w:r>
          <w:rPr>
            <w:rFonts w:eastAsia="Calibri Light"/>
            <w:color w:val="179DD7"/>
            <w:sz w:val="18"/>
            <w:szCs w:val="18"/>
            <w:u w:val="single"/>
          </w:rPr>
          <w:t>bain.com</w:t>
        </w:r>
      </w:hyperlink>
    </w:p>
    <w:p w14:paraId="6EB367BB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在位者的进攻性机会被量化为仅美国就约 $100bn：agentic AI 自动化跨系统协调劳动 —— ERP、CRM、计费与工单系统之间那些规则式自动化从未覆盖的人工协调 —— 把人力预算转化为软件支出，握有专有工作流数据的厂商最有能力捕获。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26" w:history="1">
        <w:r>
          <w:rPr>
            <w:rFonts w:eastAsia="Calibri Light"/>
            <w:color w:val="179DD7"/>
            <w:sz w:val="18"/>
            <w:szCs w:val="18"/>
            <w:u w:val="single"/>
          </w:rPr>
          <w:t>bain.com</w:t>
        </w:r>
      </w:hyperlink>
    </w:p>
    <w:p w14:paraId="6EB367BC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一项覆盖 45 家上市 SaaS 公司的研究认为 build-vs-buy 转移真实但不均匀：AI 编码工具让企业能自建同质化的工作流软件，而依托跨客户汇集数据、执行预测型任务的 SaaS 保有定价权 —— 软件信用应按数据护城河与任务类型分层，而非视作单一风险桶。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27" w:history="1">
        <w:r>
          <w:rPr>
            <w:rFonts w:eastAsia="Calibri Light"/>
            <w:color w:val="179DD7"/>
            <w:sz w:val="18"/>
            <w:szCs w:val="18"/>
            <w:u w:val="single"/>
          </w:rPr>
          <w:t>hbr.org</w:t>
        </w:r>
      </w:hyperlink>
    </w:p>
    <w:p w14:paraId="6EB367BD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软件生产者自身也在重构：过去一年头部软件公司收入增速比人员增速快 22%，标准的 7–9 人工程小队正让位于 3–5 人的人机混合 agentic pod —— 人力密度结构性下降，卖给这些团队的工具席位数也随之减少。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28" w:history="1">
        <w:r>
          <w:rPr>
            <w:rFonts w:eastAsia="Calibri Light"/>
            <w:color w:val="179DD7"/>
            <w:sz w:val="18"/>
            <w:szCs w:val="18"/>
            <w:u w:val="single"/>
          </w:rPr>
          <w:t>bain.com</w:t>
        </w:r>
      </w:hyperlink>
    </w:p>
    <w:p w14:paraId="6EB367BE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变现开始从席位转向 agent 用量：主要平台在本季开始直接对 agent 使用计费，并搭建企业级 agent 治理层 —— 这是『用户是软件』时代重新捕获价值的早期模板，也加速了全行业向用量与结果定价的迁移。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29" w:history="1">
        <w:r>
          <w:rPr>
            <w:rFonts w:eastAsia="Calibri Light"/>
            <w:color w:val="179DD7"/>
            <w:sz w:val="18"/>
            <w:szCs w:val="18"/>
            <w:u w:val="single"/>
          </w:rPr>
          <w:t>techtimes.com</w:t>
        </w:r>
      </w:hyperlink>
    </w:p>
    <w:p w14:paraId="6EB367BF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AI×软件叙事正式进入信用领域：主流财经媒体梳理了私募股权与私募信贷如何在 AI 冲击前重仓软件，把 agent 替代风险与约 $47bn 的困境软件贷款存量联系起来 —— AI 已是杠杆软件信贷的承保变量，而不再只是股票主题。</w:t>
      </w:r>
      <w:r>
        <w:rPr>
          <w:rFonts w:eastAsia="Calibri Light"/>
          <w:i/>
          <w:iCs/>
          <w:color w:val="5A6B7B"/>
          <w:sz w:val="18"/>
          <w:szCs w:val="18"/>
        </w:rPr>
        <w:t xml:space="preserve">  资料来源：  </w:t>
      </w:r>
      <w:hyperlink r:id="rId30" w:history="1">
        <w:r>
          <w:rPr>
            <w:rFonts w:eastAsia="Calibri Light"/>
            <w:color w:val="179DD7"/>
            <w:sz w:val="18"/>
            <w:szCs w:val="18"/>
            <w:u w:val="single"/>
          </w:rPr>
          <w:t>bloomberg.com</w:t>
        </w:r>
      </w:hyperlink>
    </w:p>
    <w:p w14:paraId="0919FDE3" w14:textId="77777777" w:rsidR="001942BE" w:rsidRPr="00312B84" w:rsidRDefault="001942BE">
      <w:pPr>
        <w:widowControl/>
        <w:rPr>
          <w:rFonts w:eastAsia="Calibri Light"/>
          <w:b/>
          <w:bCs/>
          <w:color w:val="1C3660"/>
          <w:sz w:val="40"/>
          <w:szCs w:val="40"/>
        </w:rPr>
      </w:pPr>
      <w:r>
        <w:rPr>
          <w:rFonts w:eastAsia="Calibri Light"/>
          <w:b/>
          <w:bCs/>
          <w:color w:val="1C3660"/>
          <w:sz w:val="40"/>
          <w:szCs w:val="40"/>
        </w:rPr>
        <w:br w:type="page"/>
      </w:r>
    </w:p>
    <w:p w14:paraId="6EB367C0" w14:textId="4209B2B7" w:rsidR="00813CB8" w:rsidRPr="00312B84" w:rsidRDefault="002B4BED">
      <w:pPr>
        <w:pStyle w:val="Heading1"/>
        <w:spacing w:before="620" w:after="16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40"/>
          <w:szCs w:val="40"/>
        </w:rPr>
        <w:lastRenderedPageBreak/>
        <w:t>2. OTF 更新</w:t>
      </w:r>
    </w:p>
    <w:p w14:paraId="6EB367C1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2.1 组合构成</w:t>
      </w:r>
    </w:p>
    <w:p w14:paraId="6EB367C2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资本结构</w:t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7"/>
        <w:gridCol w:w="1844"/>
        <w:gridCol w:w="1844"/>
        <w:gridCol w:w="2459"/>
      </w:tblGrid>
      <w:tr w:rsidR="00813CB8" w:rsidRPr="00312B84" w14:paraId="6EB367C7" w14:textId="77777777">
        <w:trPr>
          <w:cantSplit/>
          <w:tblHeader/>
        </w:trPr>
        <w:tc>
          <w:tcPr>
            <w:tcW w:w="4097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资产类别</w:t>
            </w:r>
          </w:p>
        </w:tc>
        <w:tc>
          <w:tcPr>
            <w:tcW w:w="184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Q1'26</w:t>
            </w:r>
          </w:p>
        </w:tc>
        <w:tc>
          <w:tcPr>
            <w:tcW w:w="184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Q2'26</w:t>
            </w:r>
          </w:p>
        </w:tc>
        <w:tc>
          <w:tcPr>
            <w:tcW w:w="2459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环比变化</w:t>
            </w:r>
          </w:p>
        </w:tc>
      </w:tr>
      <w:tr w:rsidR="00813CB8" w:rsidRPr="00312B84" w14:paraId="6EB367CC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第一留置权优先担保债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77.7%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77.8%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+0.1pp</w:t>
            </w:r>
          </w:p>
        </w:tc>
      </w:tr>
      <w:tr w:rsidR="00813CB8" w:rsidRPr="00312B84" w14:paraId="6EB367D1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第二留置权优先担保债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3.5%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C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3.3%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−0.2pp</w:t>
            </w:r>
          </w:p>
        </w:tc>
      </w:tr>
      <w:tr w:rsidR="00813CB8" w:rsidRPr="00312B84" w14:paraId="6EB367D6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无担保及专业金融债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3.5%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3.5%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持平</w:t>
            </w:r>
          </w:p>
        </w:tc>
      </w:tr>
      <w:tr w:rsidR="00813CB8" w:rsidRPr="00312B84" w14:paraId="6EB367DB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优先股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7.0%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6.5%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−0.5pp</w:t>
            </w:r>
          </w:p>
        </w:tc>
      </w:tr>
      <w:tr w:rsidR="00813CB8" w:rsidRPr="00312B84" w14:paraId="6EB367E0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普通股及合资企业（JV）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8.3%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8.9%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D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+0.6pp</w:t>
            </w:r>
          </w:p>
        </w:tc>
      </w:tr>
      <w:tr w:rsidR="00813CB8" w:rsidRPr="00312B84" w14:paraId="6EB367E5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合计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2" w14:textId="77777777" w:rsidR="00813CB8" w:rsidRPr="00312B84" w:rsidRDefault="002B4BED" w:rsidP="00C56584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100.0%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3" w14:textId="77777777" w:rsidR="00813CB8" w:rsidRPr="00312B84" w:rsidRDefault="002B4BED" w:rsidP="00C56584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100.0%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—</w:t>
            </w:r>
          </w:p>
        </w:tc>
      </w:tr>
      <w:tr w:rsidR="00813CB8" w:rsidRPr="00312B84" w14:paraId="6EB367EA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备忘：优先担保债合计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81.5%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81.4%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−0.1pp</w:t>
            </w:r>
          </w:p>
        </w:tc>
      </w:tr>
      <w:tr w:rsidR="00813CB8" w:rsidRPr="00312B84" w14:paraId="6EB367EF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备忘：债权投资合计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84.7%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84.6%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E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−0.1pp</w:t>
            </w:r>
          </w:p>
        </w:tc>
      </w:tr>
      <w:tr w:rsidR="00813CB8" w:rsidRPr="00312B84" w14:paraId="6EB367F4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F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备忘：股权及合资企业合计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F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15.3%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F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15.4%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F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+0.1pp</w:t>
            </w:r>
          </w:p>
        </w:tc>
      </w:tr>
      <w:tr w:rsidR="00813CB8" w:rsidRPr="00312B84" w14:paraId="6EB367F9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F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备忘：unitranche 占第一留置权债比例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F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57%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F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56%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F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−1pp</w:t>
            </w:r>
          </w:p>
        </w:tc>
      </w:tr>
    </w:tbl>
    <w:p w14:paraId="6EB367FA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按 10-Q 资产类别口径，占投资总额公允值的百分比。无担保及专业金融债合并两个债务科目；普通股及 JV 含专业金融股权。组合公允值 Q1'26 为 $14.1bn（203 家公司），Q2'26 为 $14.7bn（205 家）。资料来源：OTF Q2'26 及 Q1'26 10-Q；Q2'26 业绩演示材料第 5 页</w:t>
      </w:r>
    </w:p>
    <w:p w14:paraId="6EB367FB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本季组合结构基本静态：最大变化是普通股及 JV 升 0.6pp 至 8.9%，由专业金融股权增持驱动；优先股降 0.5pp 至 6.5%。第一留置权敞口维持 77.8%，债权投资合计占公允值 84.6%。</w:t>
      </w:r>
    </w:p>
    <w:p w14:paraId="6EB367FC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行业分布</w:t>
      </w:r>
    </w:p>
    <w:p w14:paraId="6EB367FD" w14:textId="77777777" w:rsidR="00813CB8" w:rsidRPr="00312B84" w:rsidRDefault="002B4BED">
      <w:pPr>
        <w:spacing w:before="120" w:after="16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EB36A97" wp14:editId="6EB36A98">
            <wp:extent cx="6503669" cy="292442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69" cy="292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7"/>
        <w:gridCol w:w="1844"/>
        <w:gridCol w:w="1844"/>
        <w:gridCol w:w="2459"/>
      </w:tblGrid>
      <w:tr w:rsidR="00813CB8" w:rsidRPr="00312B84" w14:paraId="6EB36802" w14:textId="77777777">
        <w:trPr>
          <w:cantSplit/>
          <w:tblHeader/>
        </w:trPr>
        <w:tc>
          <w:tcPr>
            <w:tcW w:w="4097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F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行业</w:t>
            </w:r>
          </w:p>
        </w:tc>
        <w:tc>
          <w:tcPr>
            <w:tcW w:w="184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7F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Q1'26</w:t>
            </w:r>
          </w:p>
        </w:tc>
        <w:tc>
          <w:tcPr>
            <w:tcW w:w="184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Q2'26</w:t>
            </w:r>
          </w:p>
        </w:tc>
        <w:tc>
          <w:tcPr>
            <w:tcW w:w="2459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环比变化</w:t>
            </w:r>
          </w:p>
        </w:tc>
      </w:tr>
      <w:tr w:rsidR="00813CB8" w:rsidRPr="00312B84" w14:paraId="6EB36807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系统软件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18.5%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17.5%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−1.0pp</w:t>
            </w:r>
          </w:p>
        </w:tc>
      </w:tr>
      <w:tr w:rsidR="00813CB8" w:rsidRPr="00312B84" w14:paraId="6EB3680C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应用软件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14.1%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15.3%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+1.2pp</w:t>
            </w:r>
          </w:p>
        </w:tc>
      </w:tr>
      <w:tr w:rsidR="00813CB8" w:rsidRPr="00312B84" w14:paraId="6EB36811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lastRenderedPageBreak/>
              <w:t>医疗科技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12.9%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0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12.4%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−0.5pp</w:t>
            </w:r>
          </w:p>
        </w:tc>
      </w:tr>
      <w:tr w:rsidR="00813CB8" w:rsidRPr="00312B84" w14:paraId="6EB36816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多元金融服务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10.0%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9.9%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−0.1pp</w:t>
            </w:r>
          </w:p>
        </w:tc>
      </w:tr>
      <w:tr w:rsidR="00813CB8" w:rsidRPr="00312B84" w14:paraId="6EB3681B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专业服务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6.7%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6.4%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−0.3pp</w:t>
            </w:r>
          </w:p>
        </w:tc>
      </w:tr>
      <w:tr w:rsidR="00813CB8" w:rsidRPr="00312B84" w14:paraId="6EB36820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保险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3.9%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3.7%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1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−0.2pp</w:t>
            </w:r>
          </w:p>
        </w:tc>
      </w:tr>
      <w:tr w:rsidR="00813CB8" w:rsidRPr="00312B84" w14:paraId="6EB36825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IT 服务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4.1%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3.6%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−0.5pp</w:t>
            </w:r>
          </w:p>
        </w:tc>
      </w:tr>
      <w:tr w:rsidR="00813CB8" w:rsidRPr="00312B84" w14:paraId="6EB3682A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医疗服务提供商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3.0%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2.9%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−0.1pp</w:t>
            </w:r>
          </w:p>
        </w:tc>
      </w:tr>
      <w:tr w:rsidR="00813CB8" w:rsidRPr="00312B84" w14:paraId="6EB3682F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航空航天与国防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2.3%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2.6%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2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+0.3pp</w:t>
            </w:r>
          </w:p>
        </w:tc>
      </w:tr>
      <w:tr w:rsidR="00813CB8" w:rsidRPr="00312B84" w14:paraId="6EB36834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多元消费服务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2.4%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2.3%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−0.1pp</w:t>
            </w:r>
          </w:p>
        </w:tc>
      </w:tr>
      <w:tr w:rsidR="00813CB8" w:rsidRPr="00312B84" w14:paraId="6EB36839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其他行业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22.1%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23.4%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+1.3pp</w:t>
            </w:r>
          </w:p>
        </w:tc>
      </w:tr>
      <w:tr w:rsidR="00813CB8" w:rsidRPr="00312B84" w14:paraId="6EB3683E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合计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B" w14:textId="77777777" w:rsidR="00813CB8" w:rsidRPr="00312B84" w:rsidRDefault="002B4BED" w:rsidP="00C56584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100.0%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C" w14:textId="77777777" w:rsidR="00813CB8" w:rsidRPr="00312B84" w:rsidRDefault="002B4BED" w:rsidP="00C56584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100.0%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—</w:t>
            </w:r>
          </w:p>
        </w:tc>
      </w:tr>
      <w:tr w:rsidR="00813CB8" w:rsidRPr="00312B84" w14:paraId="6EB36843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3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备忘：系统软件 + 应用软件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32.6%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32.8%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+0.2pp</w:t>
            </w:r>
          </w:p>
        </w:tc>
      </w:tr>
      <w:tr w:rsidR="00813CB8" w:rsidRPr="00312B84" w14:paraId="6EB36848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备忘：前十大行业合计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77.9%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76.6%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−1.3pp</w:t>
            </w:r>
          </w:p>
        </w:tc>
      </w:tr>
      <w:tr w:rsidR="00813CB8" w:rsidRPr="00312B84" w14:paraId="6EB3684D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备忘：持仓行业数量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37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39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4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+2</w:t>
            </w:r>
          </w:p>
        </w:tc>
      </w:tr>
    </w:tbl>
    <w:p w14:paraId="6EB3684E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GICS 子行业口径，占投资总额公允值百分比。前十大行业按 Q2'26 排序，两季保持同一顺序。10-Q 的对比列为上一年年末而非上季度，故 Q1'26 列取自 Q1'26 10-Q。资料来源：OTF Q2'26 及 Q1'26 10-Q</w:t>
      </w:r>
    </w:p>
    <w:p w14:paraId="6EB3684F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前三大行业 —— 系统软件 17.5%、应用软件 15.3%、医疗科技 12.4% —— 合计占公允值 45.2%，环比下降 0.3pp；值得注意的轮动发生在软件内部：应用软件上升 1.2pp，系统软件回落 1.0pp。按内部 AI 影响分级，高影响行业 —— 应用软件、系统软件、互联网与直销零售、IT 服务、专业服务 —— 合计占公允值 44.6%，环比降 0.7pp；中影响行业 —— 两个医疗科目、三个多元服务科目及生命科学工具 —— 合计 30.0%，环比降 0.6pp；模型中适用最高 30% 违约假设的四个行业合计 27.1%，环比升 0.3pp。</w:t>
      </w:r>
    </w:p>
    <w:p w14:paraId="6EB36850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软件分层敞口</w:t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9"/>
        <w:gridCol w:w="2254"/>
        <w:gridCol w:w="5531"/>
      </w:tblGrid>
      <w:tr w:rsidR="00813CB8" w:rsidRPr="00312B84" w14:paraId="6EB36854" w14:textId="77777777">
        <w:trPr>
          <w:cantSplit/>
          <w:tblHeader/>
        </w:trPr>
        <w:tc>
          <w:tcPr>
            <w:tcW w:w="2459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层级</w:t>
            </w:r>
          </w:p>
        </w:tc>
        <w:tc>
          <w:tcPr>
            <w:tcW w:w="225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占组合公允值 %</w:t>
            </w:r>
          </w:p>
        </w:tc>
        <w:tc>
          <w:tcPr>
            <w:tcW w:w="5531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代表性持仓</w:t>
            </w:r>
          </w:p>
        </w:tc>
      </w:tr>
      <w:tr w:rsidR="00813CB8" w:rsidRPr="00312B84" w14:paraId="6EB36858" w14:textId="77777777">
        <w:trPr>
          <w:cantSplit/>
        </w:trPr>
        <w:tc>
          <w:tcPr>
            <w:tcW w:w="2459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应用层</w:t>
            </w:r>
          </w:p>
        </w:tc>
        <w:tc>
          <w:tcPr>
            <w:tcW w:w="22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49.5%</w:t>
            </w:r>
          </w:p>
        </w:tc>
        <w:tc>
          <w:tcPr>
            <w:tcW w:w="5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Anaplan, AlphaSense, Acquia</w:t>
            </w:r>
          </w:p>
        </w:tc>
      </w:tr>
      <w:tr w:rsidR="00813CB8" w:rsidRPr="00312B84" w14:paraId="6EB3685C" w14:textId="77777777">
        <w:trPr>
          <w:cantSplit/>
        </w:trPr>
        <w:tc>
          <w:tcPr>
            <w:tcW w:w="2459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平台层</w:t>
            </w:r>
          </w:p>
        </w:tc>
        <w:tc>
          <w:tcPr>
            <w:tcW w:w="22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11.4%</w:t>
            </w:r>
          </w:p>
        </w:tc>
        <w:tc>
          <w:tcPr>
            <w:tcW w:w="5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Databricks, Boomi, Algolia</w:t>
            </w:r>
          </w:p>
        </w:tc>
      </w:tr>
      <w:tr w:rsidR="00813CB8" w:rsidRPr="00312B84" w14:paraId="6EB36860" w14:textId="77777777">
        <w:trPr>
          <w:cantSplit/>
        </w:trPr>
        <w:tc>
          <w:tcPr>
            <w:tcW w:w="2459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基础设施层</w:t>
            </w:r>
          </w:p>
        </w:tc>
        <w:tc>
          <w:tcPr>
            <w:tcW w:w="22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12.4%</w:t>
            </w:r>
          </w:p>
        </w:tc>
        <w:tc>
          <w:tcPr>
            <w:tcW w:w="5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5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Arctic Wolf, Barracuda, Proofpoint</w:t>
            </w:r>
          </w:p>
        </w:tc>
      </w:tr>
      <w:tr w:rsidR="00813CB8" w:rsidRPr="00312B84" w14:paraId="6EB36864" w14:textId="77777777">
        <w:trPr>
          <w:cantSplit/>
        </w:trPr>
        <w:tc>
          <w:tcPr>
            <w:tcW w:w="2459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6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非软件</w:t>
            </w:r>
          </w:p>
        </w:tc>
        <w:tc>
          <w:tcPr>
            <w:tcW w:w="22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6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26.8%</w:t>
            </w:r>
          </w:p>
        </w:tc>
        <w:tc>
          <w:tcPr>
            <w:tcW w:w="5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6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—</w:t>
            </w:r>
          </w:p>
        </w:tc>
      </w:tr>
    </w:tbl>
    <w:p w14:paraId="6EB36865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组合的内部分层映射按 202607 草稿模型 Crosscheck 表，逐笔基于 Q1'26 投资明细表（schedule of investments）分类；为占组合公允值的比例。资料来源：内部草稿模型；OTF 10-Q 投资明细表</w:t>
      </w:r>
    </w:p>
    <w:p w14:paraId="6EB36866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应用层软件是遥遥领先的最大板块，约占组合公允值一半，是平台层的四倍。对照 4.3 节维护的层级脆弱性排序 —— 应用层风险最高，其次平台层，再次基础设施层 —— OTF 的持仓恰恰集中在承受 AI 压力最大的层级，这是其股票相对多元化 BDC 额外承担软件集中度风险溢价的结构性原因。</w:t>
      </w:r>
    </w:p>
    <w:p w14:paraId="6EB36867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借款人基本面</w:t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7"/>
        <w:gridCol w:w="1844"/>
        <w:gridCol w:w="1844"/>
        <w:gridCol w:w="2459"/>
      </w:tblGrid>
      <w:tr w:rsidR="00813CB8" w:rsidRPr="00312B84" w14:paraId="6EB3686C" w14:textId="77777777">
        <w:trPr>
          <w:cantSplit/>
          <w:tblHeader/>
        </w:trPr>
        <w:tc>
          <w:tcPr>
            <w:tcW w:w="4097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6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指标 — 第一及第二留置权组</w:t>
            </w:r>
          </w:p>
        </w:tc>
        <w:tc>
          <w:tcPr>
            <w:tcW w:w="184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6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Q1'26</w:t>
            </w:r>
          </w:p>
        </w:tc>
        <w:tc>
          <w:tcPr>
            <w:tcW w:w="184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6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Q2'26</w:t>
            </w:r>
          </w:p>
        </w:tc>
        <w:tc>
          <w:tcPr>
            <w:tcW w:w="2459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6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环比变化</w:t>
            </w:r>
          </w:p>
        </w:tc>
      </w:tr>
      <w:tr w:rsidR="00813CB8" w:rsidRPr="00312B84" w14:paraId="6EB36871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6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加权平均年收入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6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$0.9bn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6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$1.0bn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</w:t>
            </w:r>
          </w:p>
        </w:tc>
      </w:tr>
      <w:tr w:rsidR="00813CB8" w:rsidRPr="00312B84" w14:paraId="6EB36876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加权平均年 EBITDA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$285mm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$291mm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+2.1%</w:t>
            </w:r>
          </w:p>
        </w:tc>
      </w:tr>
      <w:tr w:rsidR="00813CB8" w:rsidRPr="00312B84" w14:paraId="6EB3687B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加权平均企业价值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$5.5bn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$5.7bn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</w:t>
            </w:r>
          </w:p>
        </w:tc>
      </w:tr>
      <w:tr w:rsidR="00813CB8" w:rsidRPr="00312B84" w14:paraId="6EB36880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加权平均净 LTV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40%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40%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7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持平</w:t>
            </w:r>
          </w:p>
        </w:tc>
      </w:tr>
      <w:tr w:rsidR="00813CB8" w:rsidRPr="00312B84" w14:paraId="6EB36885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8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平均单笔头寸规模（全组合）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8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$69mm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8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$72mm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8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</w:t>
            </w:r>
          </w:p>
        </w:tc>
      </w:tr>
      <w:tr w:rsidR="00813CB8" w:rsidRPr="00312B84" w14:paraId="6EB3688A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8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lastRenderedPageBreak/>
              <w:t>组合公司数量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8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203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8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205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8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+2</w:t>
            </w:r>
          </w:p>
        </w:tc>
      </w:tr>
    </w:tbl>
    <w:p w14:paraId="6EB3688B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留置权组统计覆盖第一及第二留置权借款人，占 Q2'26 组合公允值 74.5%。净 LTV 估值口径按 10-Q 及业绩演示材料：每家组合公司的贷款净值比按 OTF 贷款公允值加权；附着点为优先于 OTF 贷款的本金，该金额加上 OTF 贷款及同顺位债务为最后一美元金额，价值为对各公司企业价值的估计，具体计算因公司而异。资料来源：OTF Q2'26 业绩演示材料第 7 页；10-Q MD&amp;A</w:t>
      </w:r>
    </w:p>
    <w:p w14:paraId="6EB3688C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唯一值得注意的变化是加权平均借款人 EBITDA 达 $291mm，环比 +2.1%，较 Q1'25 的 $251mm 增长 15.9% —— 底层借款人盈利仍在增长，这是 OTF 自身披露中对『AI 侵蚀已在其组合中显现』这一论点最直接的反驳。</w:t>
      </w:r>
    </w:p>
    <w:p w14:paraId="6EB3688D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2.2 财务与负债</w:t>
      </w:r>
    </w:p>
    <w:p w14:paraId="6EB3688E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现金收益率趋势</w:t>
      </w:r>
    </w:p>
    <w:p w14:paraId="6EB3688F" w14:textId="77777777" w:rsidR="00813CB8" w:rsidRPr="00312B84" w:rsidRDefault="002B4BED">
      <w:pPr>
        <w:spacing w:before="120" w:after="16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EB36A99" wp14:editId="6EB36A9A">
            <wp:extent cx="6503669" cy="3731822"/>
            <wp:effectExtent l="0" t="0" r="0" b="0"/>
            <wp:docPr id="456795166" name="图片 456795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69" cy="37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6890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资产收益率在连续四个季度压缩后企稳：应计债权及生息证券的公允值加权平均收益率为 9.6%，环比 +10bp；组合总收益率 8.9%，环比 +10bp。归因分解显示与基准利率无关 —— 3M SOFR 持平于 3.7%，浮息债加权平均利差亦持平于 5.3% —— 因此提升来自结构而非重定价；存量负债平均票面利率维持 5.7%，净息差约 390bp。</w:t>
      </w:r>
    </w:p>
    <w:p w14:paraId="6EB36891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NAV 桥</w:t>
      </w:r>
    </w:p>
    <w:p w14:paraId="6EB36892" w14:textId="77777777" w:rsidR="00813CB8" w:rsidRPr="00312B84" w:rsidRDefault="002B4BED">
      <w:pPr>
        <w:spacing w:before="120" w:after="16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EB36A9B" wp14:editId="6EB36A9C">
            <wp:extent cx="6503669" cy="3293158"/>
            <wp:effectExtent l="0" t="0" r="0" b="0"/>
            <wp:docPr id="1918758869" name="图片 1918758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69" cy="329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6893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NAV 基本持平于 $16.48，仅降一美分。与 Q1'26 不同 —— 彼时 $0.84 的未实现利差估值拖累使 NAV 下跌 4.9% —— 本季已实现与未实现损益合计为正的 +$0.03；NII $0.30 与 $0.40 分红之间 $0.10 的缺口，被 $0.05 的回购增厚基本填平。估值线的逆转与利差企稳一致而非信用改善，同时上季估值下调的回补期权仍然在场：Q1 的减记按公开信用利差定价，利差若进一步回落将通过同一科目回流。</w:t>
      </w:r>
    </w:p>
    <w:p w14:paraId="6EB36894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NII 与分红覆盖</w:t>
      </w:r>
    </w:p>
    <w:p w14:paraId="6EB36895" w14:textId="77777777" w:rsidR="00813CB8" w:rsidRPr="00312B84" w:rsidRDefault="002B4BED">
      <w:pPr>
        <w:spacing w:before="120" w:after="16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EB36A9D" wp14:editId="6EB36A9E">
            <wp:extent cx="6503669" cy="3445736"/>
            <wp:effectExtent l="0" t="0" r="0" b="0"/>
            <wp:docPr id="1313806462" name="图片 1313806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69" cy="344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6896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GAAP NII $0.30 覆盖 $0.40 总分红的 75%，低于 Q1'26 的 93%，原因是一次性资本利得激励费冲回的逆转；仅对 $0.35 基础分红而言覆盖率为 86%。收益质量方向向好 —— PIK 占投资收益比例连续第二个季度下降（见 2.3 节），现金利息仍是主导收入线 —— 但基础分红尚未完全由现金盈利覆盖，派息仍依赖下文讨论的杠杆抬升。</w:t>
      </w:r>
    </w:p>
    <w:p w14:paraId="6EB36897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融资结构</w:t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8"/>
        <w:gridCol w:w="1844"/>
        <w:gridCol w:w="1895"/>
        <w:gridCol w:w="1895"/>
        <w:gridCol w:w="1742"/>
      </w:tblGrid>
      <w:tr w:rsidR="00813CB8" w:rsidRPr="00312B84" w14:paraId="6EB3689D" w14:textId="77777777">
        <w:trPr>
          <w:cantSplit/>
          <w:tblHeader/>
        </w:trPr>
        <w:tc>
          <w:tcPr>
            <w:tcW w:w="2868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9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融资工具 / 票据</w:t>
            </w:r>
          </w:p>
        </w:tc>
        <w:tc>
          <w:tcPr>
            <w:tcW w:w="184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9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承诺额度</w:t>
            </w:r>
          </w:p>
        </w:tc>
        <w:tc>
          <w:tcPr>
            <w:tcW w:w="1895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9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Q1'26 已提取</w:t>
            </w:r>
          </w:p>
        </w:tc>
        <w:tc>
          <w:tcPr>
            <w:tcW w:w="1895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9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Q2'26 已提取</w:t>
            </w:r>
          </w:p>
        </w:tc>
        <w:tc>
          <w:tcPr>
            <w:tcW w:w="1742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9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环比变化</w:t>
            </w:r>
          </w:p>
        </w:tc>
      </w:tr>
      <w:tr w:rsidR="00813CB8" w:rsidRPr="00312B84" w14:paraId="6EB368A3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9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循环信贷额度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9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2,675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1,640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1,620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−20</w:t>
            </w:r>
          </w:p>
        </w:tc>
      </w:tr>
      <w:tr w:rsidR="00813CB8" w:rsidRPr="00312B84" w14:paraId="6EB368A9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lastRenderedPageBreak/>
              <w:t>SPV 资产融资 I–III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2,200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1,650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1,650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持平</w:t>
            </w:r>
          </w:p>
        </w:tc>
      </w:tr>
      <w:tr w:rsidR="00813CB8" w:rsidRPr="00312B84" w14:paraId="6EB368AF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SPV 资产融资 IV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500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270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370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A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+100</w:t>
            </w:r>
          </w:p>
        </w:tc>
      </w:tr>
      <w:tr w:rsidR="00813CB8" w:rsidRPr="00312B84" w14:paraId="6EB368B5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SPV 资产融资 V — 新设，2026 年 5 月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150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—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75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+75</w:t>
            </w:r>
          </w:p>
        </w:tc>
      </w:tr>
      <w:tr w:rsidR="00813CB8" w:rsidRPr="00312B84" w14:paraId="6EB368BB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Athena CLO II / IV / V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915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915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915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持平</w:t>
            </w:r>
          </w:p>
        </w:tc>
      </w:tr>
      <w:tr w:rsidR="00813CB8" w:rsidRPr="00312B84" w14:paraId="6EB368C1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2026 年 6 月票据 — 已到期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—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375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B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—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−375</w:t>
            </w:r>
          </w:p>
        </w:tc>
      </w:tr>
      <w:tr w:rsidR="00813CB8" w:rsidRPr="00312B84" w14:paraId="6EB368C7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2027 年 1 月票据，2.50%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300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300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300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持平</w:t>
            </w:r>
          </w:p>
        </w:tc>
      </w:tr>
      <w:tr w:rsidR="00813CB8" w:rsidRPr="00312B84" w14:paraId="6EB368CD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2028 年 3 月 / 9 月票据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725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725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725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持平</w:t>
            </w:r>
          </w:p>
        </w:tc>
      </w:tr>
      <w:tr w:rsidR="00813CB8" w:rsidRPr="00312B84" w14:paraId="6EB368D3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2029 年 4 月票据，6.75%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C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700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700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700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持平</w:t>
            </w:r>
          </w:p>
        </w:tc>
      </w:tr>
      <w:tr w:rsidR="00813CB8" w:rsidRPr="00312B84" w14:paraId="6EB368D9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2029 年 10 月票据，6.50% — 新发，2026 年 6 月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500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—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500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+500</w:t>
            </w:r>
          </w:p>
        </w:tc>
      </w:tr>
      <w:tr w:rsidR="00813CB8" w:rsidRPr="00312B84" w14:paraId="6EB368DF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2031 年 1 月票据，6.125%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400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400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400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D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持平</w:t>
            </w:r>
          </w:p>
        </w:tc>
      </w:tr>
      <w:tr w:rsidR="00813CB8" w:rsidRPr="00312B84" w14:paraId="6EB368E5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债务合计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9,065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6,975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7,255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↑ +280</w:t>
            </w:r>
          </w:p>
        </w:tc>
      </w:tr>
      <w:tr w:rsidR="00813CB8" w:rsidRPr="00312B84" w14:paraId="6EB368EB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无担保债占存量债务比例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7" w14:textId="77777777" w:rsidR="00813CB8" w:rsidRPr="00312B84" w:rsidRDefault="00813CB8">
            <w:pPr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35.8%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36.2%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+0.4pp</w:t>
            </w:r>
          </w:p>
        </w:tc>
      </w:tr>
      <w:tr w:rsidR="00813CB8" w:rsidRPr="00312B84" w14:paraId="6EB368F1" w14:textId="77777777">
        <w:trPr>
          <w:cantSplit/>
        </w:trPr>
        <w:tc>
          <w:tcPr>
            <w:tcW w:w="2868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可用流动性 — 现金 + 未提取额度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D" w14:textId="77777777" w:rsidR="00813CB8" w:rsidRPr="00312B84" w:rsidRDefault="00813CB8">
            <w:pPr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$2.3bn</w:t>
            </w:r>
          </w:p>
        </w:tc>
        <w:tc>
          <w:tcPr>
            <w:tcW w:w="18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E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$2.0bn</w:t>
            </w:r>
          </w:p>
        </w:tc>
        <w:tc>
          <w:tcPr>
            <w:tcW w:w="1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F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 −$0.3bn</w:t>
            </w:r>
          </w:p>
        </w:tc>
      </w:tr>
    </w:tbl>
    <w:p w14:paraId="6EB368F2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本金金额，单位 $mm；承诺额度为 Q2'26 时点 —— Q1'26 承诺总额为 $8,790mm。承诺债务加权平均期限约 5.8 年；持有四个投资级发行人评级。资料来源：OTF Q2'26 10-Q 附注 5；Q2'26 业绩演示材料第 14 页；Q1'26 10-Q</w:t>
      </w:r>
    </w:p>
    <w:p w14:paraId="6EB368F3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本季融资动作拉长了期限曲线：$375mm 2026 年 6 月票据到期偿还，代之以 $500mm 新发 6.50% 2029 年 10 月票据、新设 $150mm SPV V 及 SPV IV 增提 $100mm。2028 年前到期压力轻 —— 2027 年仅 $300mm —— 到期集中在 2030 年及以后（承诺额度 $7.3bn），因此未来 18 个月的再融资压力仅限于低票息的 2027 年 1 月票据。</w:t>
      </w:r>
    </w:p>
    <w:p w14:paraId="6EB368F4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杠杆率</w:t>
      </w:r>
    </w:p>
    <w:p w14:paraId="6EB368F5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净杠杆 Q2'26 期末为 0.93x，高于 Q1'26 的 0.85x —— 上市以来首次进入 0.90x–1.25x 管理层目标区间。本次上升由投放而非减记驱动：$478mm 净投放由新发无担保票据与 SPV 提款融资，净资产持平；资产覆盖率 203%，较 2025 年年末的 226% 下降，但相对 150% 法定下限仍然宽裕。自此至目标区间上限，基金还有约 $2.4bn 债务额度，约相当于当前净资产的三分之一 —— 在基准利率持平的环境下，这是每股 NII 的主要前瞻驱动。对称地看，距监管下限的缓冲很宽：组合价值需下跌约 $4.0bn（约 27%），150% 测试才会触发。</w:t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7"/>
        <w:gridCol w:w="1844"/>
        <w:gridCol w:w="1844"/>
        <w:gridCol w:w="2459"/>
      </w:tblGrid>
      <w:tr w:rsidR="00813CB8" w:rsidRPr="00312B84" w14:paraId="6EB368FA" w14:textId="77777777">
        <w:trPr>
          <w:cantSplit/>
          <w:tblHeader/>
        </w:trPr>
        <w:tc>
          <w:tcPr>
            <w:tcW w:w="4097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F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杠杆与资本</w:t>
            </w:r>
          </w:p>
        </w:tc>
        <w:tc>
          <w:tcPr>
            <w:tcW w:w="184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F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Q1'26</w:t>
            </w:r>
          </w:p>
        </w:tc>
        <w:tc>
          <w:tcPr>
            <w:tcW w:w="184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F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Q2'26</w:t>
            </w:r>
          </w:p>
        </w:tc>
        <w:tc>
          <w:tcPr>
            <w:tcW w:w="2459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F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环比变化</w:t>
            </w:r>
          </w:p>
        </w:tc>
      </w:tr>
      <w:tr w:rsidR="00813CB8" w:rsidRPr="00312B84" w14:paraId="6EB368FF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F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净杠杆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F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0.85x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F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0.93x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8F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+0.08x</w:t>
            </w:r>
          </w:p>
        </w:tc>
      </w:tr>
      <w:tr w:rsidR="00813CB8" w:rsidRPr="00312B84" w14:paraId="6EB36904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管理层目标区间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0.90–1.25x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0.90–1.25x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—</w:t>
            </w:r>
          </w:p>
        </w:tc>
      </w:tr>
      <w:tr w:rsidR="00813CB8" w:rsidRPr="00312B84" w14:paraId="6EB36909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资产覆盖率 — 法定下限 150%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226% (12/31/25)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203%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↓</w:t>
            </w:r>
          </w:p>
        </w:tc>
      </w:tr>
      <w:tr w:rsidR="00813CB8" w:rsidRPr="00312B84" w14:paraId="6EB3690E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距 1.25x 目标上限的债务空间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B" w14:textId="77777777" w:rsidR="00813CB8" w:rsidRPr="00312B84" w:rsidRDefault="00813CB8">
            <w:pPr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~$2.4bn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D" w14:textId="77777777" w:rsidR="00813CB8" w:rsidRPr="00312B84" w:rsidRDefault="00813CB8">
            <w:pPr>
              <w:spacing w:after="40"/>
              <w:jc w:val="center"/>
              <w:rPr>
                <w:sz w:val="16"/>
                <w:szCs w:val="16"/>
              </w:rPr>
            </w:pPr>
          </w:p>
        </w:tc>
      </w:tr>
      <w:tr w:rsidR="00813CB8" w:rsidRPr="00312B84" w14:paraId="6EB36913" w14:textId="77777777">
        <w:trPr>
          <w:cantSplit/>
        </w:trPr>
        <w:tc>
          <w:tcPr>
            <w:tcW w:w="4097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0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触及 150% 下限前可吸收的组合跌幅</w:t>
            </w: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10" w14:textId="77777777" w:rsidR="00813CB8" w:rsidRPr="00312B84" w:rsidRDefault="00813CB8">
            <w:pPr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8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1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~$4.0bn / ~27%</w:t>
            </w:r>
          </w:p>
        </w:tc>
        <w:tc>
          <w:tcPr>
            <w:tcW w:w="24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12" w14:textId="77777777" w:rsidR="00813CB8" w:rsidRPr="00312B84" w:rsidRDefault="00813CB8">
            <w:pPr>
              <w:spacing w:after="40"/>
              <w:jc w:val="center"/>
              <w:rPr>
                <w:sz w:val="16"/>
                <w:szCs w:val="16"/>
              </w:rPr>
            </w:pPr>
          </w:p>
        </w:tc>
      </w:tr>
    </w:tbl>
    <w:p w14:paraId="6EB36914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资产覆盖率对比值为 2025 年年末披露；距 150% 下限的缓冲按 Q2'26 净资产 $7,540mm 与账面债务 $7,158mm 计算。资料来源：OTF Q2'26 10-Q 流动性与资本资源；Q2'26 业绩演示材料</w:t>
      </w:r>
    </w:p>
    <w:p w14:paraId="6EB36915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2.3 违约风险关注</w:t>
      </w:r>
    </w:p>
    <w:p w14:paraId="6EB36916" w14:textId="77777777" w:rsidR="00813CB8" w:rsidRPr="00312B84" w:rsidRDefault="002B4BED">
      <w:pPr>
        <w:pStyle w:val="Heading3"/>
        <w:spacing w:before="200" w:after="100"/>
        <w:ind w:left="110"/>
        <w:rPr>
          <w:color w:val="001F5F"/>
        </w:rPr>
      </w:pPr>
      <w:r>
        <w:rPr>
          <w:rFonts w:eastAsia="Calibri Light"/>
          <w:color w:val="001F5F"/>
        </w:rPr>
        <w:t>PIK</w:t>
      </w:r>
    </w:p>
    <w:p w14:paraId="0A185CB5" w14:textId="4FA64BA0" w:rsidR="0058676C" w:rsidRPr="00312B84" w:rsidRDefault="0058676C" w:rsidP="0058676C">
      <w:pPr>
        <w:spacing w:before="120" w:after="160"/>
        <w:jc w:val="center"/>
        <w:rPr>
          <w:sz w:val="18"/>
          <w:szCs w:val="18"/>
          <w:lang w:val="en-HK"/>
        </w:rPr>
      </w:pPr>
      <w:r>
        <w:rPr>
          <w:noProof/>
          <w:sz w:val="18"/>
          <w:szCs w:val="18"/>
          <w:lang w:val="en-HK"/>
        </w:rPr>
        <w:lastRenderedPageBreak/>
        <w:drawing>
          <wp:inline distT="0" distB="0" distL="0" distR="0" wp14:anchorId="5776F817" wp14:editId="6FCDE501">
            <wp:extent cx="6504940" cy="2593838"/>
            <wp:effectExtent l="0" t="0" r="7620" b="0"/>
            <wp:docPr id="2090924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259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6917" w14:textId="3199D946" w:rsidR="00813CB8" w:rsidRPr="00312B84" w:rsidRDefault="00813CB8">
      <w:pPr>
        <w:spacing w:before="120" w:after="160"/>
        <w:jc w:val="center"/>
        <w:rPr>
          <w:sz w:val="18"/>
          <w:szCs w:val="18"/>
        </w:rPr>
      </w:pPr>
    </w:p>
    <w:p w14:paraId="6EB36918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PIK 收益占总投资收益 12.5%，环比降 0.6pp，为连续第二个季度下降；据业绩电话会，约 98% 为原始承保时约定而非修订产生，但该水平仍约为 BDC 行业平均 6.4% 的两倍。</w:t>
      </w:r>
    </w:p>
    <w:p w14:paraId="6EB36919" w14:textId="08044058" w:rsidR="00813CB8" w:rsidRPr="00C565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非应计</w:t>
      </w:r>
      <w:r w:rsidR="00C56584">
        <w:rPr>
          <w:rFonts w:hint="eastAsia"/>
          <w:color w:val="001F5F"/>
        </w:rPr>
        <w:t xml:space="preserve"> Non-accrual</w:t>
      </w:r>
    </w:p>
    <w:p w14:paraId="6EB3691A" w14:textId="44B7BC7C" w:rsidR="00813CB8" w:rsidRPr="00312B84" w:rsidRDefault="00636FA1">
      <w:pPr>
        <w:spacing w:before="120" w:after="160"/>
        <w:jc w:val="center"/>
        <w:rPr>
          <w:sz w:val="18"/>
          <w:szCs w:val="18"/>
          <w:lang w:val="en-HK"/>
        </w:rPr>
      </w:pPr>
      <w:r>
        <w:rPr>
          <w:noProof/>
          <w:sz w:val="18"/>
          <w:szCs w:val="18"/>
          <w:lang w:val="en-HK"/>
        </w:rPr>
        <w:drawing>
          <wp:inline distT="0" distB="0" distL="0" distR="0" wp14:anchorId="35BF20B2" wp14:editId="25A2C0DF">
            <wp:extent cx="6504940" cy="2645546"/>
            <wp:effectExtent l="0" t="0" r="7620" b="0"/>
            <wp:docPr id="1160209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264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691B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非应计率从成本口径 0.3% 升至 0.6%，源于一笔新增 —— 约 $53mm 成本的软件优先股头寸 —— 同时退出一笔，期末余两个发行人、公允值约 $20mm，即组合的 0.1%，环比不变，仅为 2.8% 行业平均的零头。</w:t>
      </w:r>
    </w:p>
    <w:p w14:paraId="6EB3691C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内部风险评级</w:t>
      </w:r>
    </w:p>
    <w:p w14:paraId="6EB3691D" w14:textId="77777777" w:rsidR="00813CB8" w:rsidRPr="00312B84" w:rsidRDefault="002B4BED">
      <w:pPr>
        <w:spacing w:before="120" w:after="16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EB36AA3" wp14:editId="6EB36AA4">
            <wp:extent cx="6503669" cy="3700034"/>
            <wp:effectExtent l="0" t="0" r="0" b="0"/>
            <wp:docPr id="1877170146" name="图片 1877170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69" cy="370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691E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4+5 级占公允值 0.5%，环比升 0.2pp；3 级改善 1.1pp 至 7.1% —— 1、2 级合计占 92.4%，环比升 0.9pp。</w:t>
      </w:r>
    </w:p>
    <w:p w14:paraId="6EB3691F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2.4 卖方观点与目标价</w:t>
      </w:r>
    </w:p>
    <w:p w14:paraId="6EB36920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BofA 在二季报后维持 Neutral 评级，目标价 $11.50 不变（约 0.7x NAV），此前 5 月曾自 $14.00 下调。该行将本季定调为 Stable —— NAV 持平于 $16.48、组合收益率升 10bp 至 9.3% —— 相比 Q1 的 Challenging quarter 定调，负面下修周期暂停。调整后核心 EPS $0.30，环比 +3%，低于 $0.31 的一致预期一美分，但高于该行自身 $0.28 的预测（利息与股息收入更强）；2026、2027 年核心 EPS 预测维持 $1.21 与 $1.26，未发布新的修订。信用方面，报告统计非应计率成本口径 0.6%、涉及两个发行人 —— 一笔软件新增、一笔退出 —— 处于行业最低之列，并提示 PIK 降至收入的 12.5%、几乎全部为原始承保。尽管存在折价仍维持 Neutral 的核心论据：信用干净、前景缓慢改善，但鉴于大量过剩资本，核心盈利能力短期内将落后同业。与上季相比，评级、目标价与估值倍数均未变，基调从收益率承压的谨慎转向企稳。</w:t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2151"/>
        <w:gridCol w:w="2151"/>
        <w:gridCol w:w="2151"/>
        <w:gridCol w:w="2152"/>
      </w:tblGrid>
      <w:tr w:rsidR="00813CB8" w:rsidRPr="00312B84" w14:paraId="6EB36926" w14:textId="77777777">
        <w:trPr>
          <w:cantSplit/>
          <w:tblHeader/>
        </w:trPr>
        <w:tc>
          <w:tcPr>
            <w:tcW w:w="1639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1" w14:textId="77777777" w:rsidR="00813CB8" w:rsidRPr="00312B84" w:rsidRDefault="00813CB8">
            <w:pPr>
              <w:spacing w:after="40"/>
              <w:rPr>
                <w:sz w:val="16"/>
                <w:szCs w:val="16"/>
              </w:rPr>
            </w:pPr>
          </w:p>
        </w:tc>
        <w:tc>
          <w:tcPr>
            <w:tcW w:w="2151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BofA</w:t>
            </w:r>
          </w:p>
        </w:tc>
        <w:tc>
          <w:tcPr>
            <w:tcW w:w="2151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Citizens JMP</w:t>
            </w:r>
          </w:p>
        </w:tc>
        <w:tc>
          <w:tcPr>
            <w:tcW w:w="2151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Wells Fargo</w:t>
            </w:r>
          </w:p>
        </w:tc>
        <w:tc>
          <w:tcPr>
            <w:tcW w:w="2152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Truist</w:t>
            </w:r>
          </w:p>
        </w:tc>
      </w:tr>
      <w:tr w:rsidR="00813CB8" w:rsidRPr="00312B84" w14:paraId="6EB3692C" w14:textId="77777777">
        <w:trPr>
          <w:cantSplit/>
        </w:trPr>
        <w:tc>
          <w:tcPr>
            <w:tcW w:w="1639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评级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Neutral — 维持，8/6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Market Outperform — 维持，8/7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Overweight — 重申，8/7</w:t>
            </w:r>
          </w:p>
        </w:tc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Buy — 重申，8/6</w:t>
            </w:r>
          </w:p>
        </w:tc>
      </w:tr>
      <w:tr w:rsidR="00813CB8" w:rsidRPr="00312B84" w14:paraId="6EB36932" w14:textId="77777777">
        <w:trPr>
          <w:cantSplit/>
        </w:trPr>
        <w:tc>
          <w:tcPr>
            <w:tcW w:w="1639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目标价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$11.50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2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$17.00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$12.00</w:t>
            </w:r>
          </w:p>
        </w:tc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$15.00</w:t>
            </w:r>
          </w:p>
        </w:tc>
      </w:tr>
      <w:tr w:rsidR="00813CB8" w:rsidRPr="00312B84" w14:paraId="6EB36938" w14:textId="77777777">
        <w:trPr>
          <w:cantSplit/>
        </w:trPr>
        <w:tc>
          <w:tcPr>
            <w:tcW w:w="1639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环比变化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不变；5 月自 $14.00 下调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↑ 自 $16.00 上调 — 二季报后唯一上调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不变；5 月自 $13.00 下调</w:t>
            </w:r>
          </w:p>
        </w:tc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不变；5 月自 $16.00 下调</w:t>
            </w:r>
          </w:p>
        </w:tc>
      </w:tr>
      <w:tr w:rsidR="00813CB8" w:rsidRPr="00312B84" w14:paraId="6EB3693E" w14:textId="77777777">
        <w:trPr>
          <w:cantSplit/>
        </w:trPr>
        <w:tc>
          <w:tcPr>
            <w:tcW w:w="1639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估值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~0.7x NAV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未披露；隐含约 1.03x NAV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未披露；隐含约 0.73x NAV</w:t>
            </w:r>
          </w:p>
        </w:tc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未披露；隐含约 0.91x NAV</w:t>
            </w:r>
          </w:p>
        </w:tc>
      </w:tr>
      <w:tr w:rsidR="00813CB8" w:rsidRPr="00312B84" w14:paraId="6EB3694B" w14:textId="77777777">
        <w:trPr>
          <w:cantSplit/>
        </w:trPr>
        <w:tc>
          <w:tcPr>
            <w:tcW w:w="1639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3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要点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4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季度平稳：NAV 持平，信用干净</w:t>
            </w:r>
          </w:p>
          <w:p w14:paraId="6EB3694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过剩资本拖累，盈利能力将落后同业</w:t>
            </w:r>
          </w:p>
          <w:p w14:paraId="6EB3694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Q3 分红 $0.40，含最后一期特别分红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4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长期看多者；以正常化 ROE 为估值驱动</w:t>
            </w:r>
          </w:p>
          <w:p w14:paraId="6EB3694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股权挂钩科技敞口带来上行期权</w:t>
            </w:r>
          </w:p>
          <w:p w14:paraId="6EB3694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六家中唯一高于 NAV 的目标价</w:t>
            </w:r>
          </w:p>
        </w:tc>
        <w:tc>
          <w:tcPr>
            <w:tcW w:w="2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4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2025 年 10 月因估值折价上调至 Overweight</w:t>
            </w:r>
          </w:p>
          <w:p w14:paraId="6EB3694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二季报后重申；目标价沿用 5 月</w:t>
            </w:r>
          </w:p>
          <w:p w14:paraId="6EB3694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折价被视为情绪而非信用问题</w:t>
            </w:r>
          </w:p>
        </w:tc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4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二季报后重申；目标价沿用 5 月</w:t>
            </w:r>
          </w:p>
          <w:p w14:paraId="6EB3694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5 月下调反映更快的杠杆抬升与更高的债务成本假设</w:t>
            </w:r>
          </w:p>
        </w:tc>
      </w:tr>
    </w:tbl>
    <w:p w14:paraId="6EB3694C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仅覆盖当季 —— 评级行动日期为 2026 年 8 月 5–17 日（二季报后）。RBC 与 KBW 维持 5 月的 $12 目标价，二季报后未见新动作；聚合一致预期约 $13.6，Moderate Buy，覆盖 7–9 位分析师。目标价相当于 $16.48 NAV 的 0.70x–1.03x，即较 8/14 收盘价 $11.46 大致持平至 +47%。资料来源：存档券商报告；MarketBeat、StockAnalysis、Benzinga 评级数据</w:t>
      </w:r>
    </w:p>
    <w:p w14:paraId="6EB3694D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2.5 股价对比</w:t>
      </w:r>
    </w:p>
    <w:p w14:paraId="6EB3694E" w14:textId="77777777" w:rsidR="00813CB8" w:rsidRPr="00312B84" w:rsidRDefault="002B4BED">
      <w:pPr>
        <w:spacing w:before="120" w:after="16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EB36AA5" wp14:editId="6EB36AA6">
            <wp:extent cx="6503669" cy="3763609"/>
            <wp:effectExtent l="0" t="0" r="0" b="0"/>
            <wp:docPr id="1221455983" name="图片 1221455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69" cy="376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694F" w14:textId="77777777" w:rsidR="00813CB8" w:rsidRPr="00312B84" w:rsidRDefault="002B4BED">
      <w:pPr>
        <w:spacing w:before="120" w:after="16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EB36AA7" wp14:editId="6EB36AA8">
            <wp:extent cx="6503669" cy="3763609"/>
            <wp:effectExtent l="0" t="0" r="0" b="0"/>
            <wp:docPr id="386103556" name="图片 38610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69" cy="376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6"/>
        <w:gridCol w:w="2356"/>
        <w:gridCol w:w="2356"/>
        <w:gridCol w:w="2356"/>
      </w:tblGrid>
      <w:tr w:rsidR="00813CB8" w:rsidRPr="00312B84" w14:paraId="6EB36954" w14:textId="77777777">
        <w:trPr>
          <w:cantSplit/>
          <w:tblHeader/>
        </w:trPr>
        <w:tc>
          <w:tcPr>
            <w:tcW w:w="3176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代码</w:t>
            </w:r>
          </w:p>
        </w:tc>
        <w:tc>
          <w:tcPr>
            <w:tcW w:w="2356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上市日收盘 6/12/25</w:t>
            </w:r>
          </w:p>
        </w:tc>
        <w:tc>
          <w:tcPr>
            <w:tcW w:w="2356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收盘 8/14/26</w:t>
            </w:r>
          </w:p>
        </w:tc>
        <w:tc>
          <w:tcPr>
            <w:tcW w:w="2356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上市以来</w:t>
            </w:r>
          </w:p>
        </w:tc>
      </w:tr>
      <w:tr w:rsidR="00813CB8" w:rsidRPr="00312B84" w14:paraId="6EB36959" w14:textId="77777777">
        <w:trPr>
          <w:cantSplit/>
        </w:trPr>
        <w:tc>
          <w:tcPr>
            <w:tcW w:w="3176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OTF — Blue Owl Technology Finance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$16.56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$11.46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−30.8%</w:t>
            </w:r>
          </w:p>
        </w:tc>
      </w:tr>
      <w:tr w:rsidR="00813CB8" w:rsidRPr="00312B84" w14:paraId="6EB3695E" w14:textId="77777777">
        <w:trPr>
          <w:cantSplit/>
        </w:trPr>
        <w:tc>
          <w:tcPr>
            <w:tcW w:w="3176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NOW — ServiceNow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$201.47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$124.00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−38.5%</w:t>
            </w:r>
          </w:p>
        </w:tc>
      </w:tr>
      <w:tr w:rsidR="00813CB8" w:rsidRPr="00312B84" w14:paraId="6EB36963" w14:textId="77777777">
        <w:trPr>
          <w:cantSplit/>
        </w:trPr>
        <w:tc>
          <w:tcPr>
            <w:tcW w:w="3176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5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CRM — Salesforce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$266.91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$196.21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−26.5%</w:t>
            </w:r>
          </w:p>
        </w:tc>
      </w:tr>
      <w:tr w:rsidR="00813CB8" w:rsidRPr="00312B84" w14:paraId="6EB36968" w14:textId="77777777">
        <w:trPr>
          <w:cantSplit/>
        </w:trPr>
        <w:tc>
          <w:tcPr>
            <w:tcW w:w="3176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ORCL — Oracle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$199.86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$150.52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−24.7%</w:t>
            </w:r>
          </w:p>
        </w:tc>
      </w:tr>
      <w:tr w:rsidR="00813CB8" w:rsidRPr="00312B84" w14:paraId="6EB3696D" w14:textId="77777777">
        <w:trPr>
          <w:cantSplit/>
        </w:trPr>
        <w:tc>
          <w:tcPr>
            <w:tcW w:w="3176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BXSL — Blackstone Secured Lending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$31.84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$24.68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−22.5%</w:t>
            </w:r>
          </w:p>
        </w:tc>
      </w:tr>
      <w:tr w:rsidR="00813CB8" w:rsidRPr="00312B84" w14:paraId="6EB36972" w14:textId="77777777">
        <w:trPr>
          <w:cantSplit/>
        </w:trPr>
        <w:tc>
          <w:tcPr>
            <w:tcW w:w="3176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lastRenderedPageBreak/>
              <w:t>OBDC — Blue Owl Capital Corp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6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$14.75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$11.72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−20.5%</w:t>
            </w:r>
          </w:p>
        </w:tc>
      </w:tr>
      <w:tr w:rsidR="00813CB8" w:rsidRPr="00312B84" w14:paraId="6EB36977" w14:textId="77777777">
        <w:trPr>
          <w:cantSplit/>
        </w:trPr>
        <w:tc>
          <w:tcPr>
            <w:tcW w:w="3176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TSLX — Sixth Street Specialty Lending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$23.50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$18.77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−20.1%</w:t>
            </w:r>
          </w:p>
        </w:tc>
      </w:tr>
      <w:tr w:rsidR="00813CB8" w:rsidRPr="00312B84" w14:paraId="6EB3697C" w14:textId="77777777">
        <w:trPr>
          <w:cantSplit/>
        </w:trPr>
        <w:tc>
          <w:tcPr>
            <w:tcW w:w="3176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GBDC — Golub Capital BDC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$15.21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$13.26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B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−12.8%</w:t>
            </w:r>
          </w:p>
        </w:tc>
      </w:tr>
      <w:tr w:rsidR="00813CB8" w:rsidRPr="00312B84" w14:paraId="6EB36981" w14:textId="77777777">
        <w:trPr>
          <w:cantSplit/>
        </w:trPr>
        <w:tc>
          <w:tcPr>
            <w:tcW w:w="3176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ARCC — Ares Capital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$22.28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7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$19.87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8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−10.8%</w:t>
            </w:r>
          </w:p>
        </w:tc>
      </w:tr>
      <w:tr w:rsidR="00813CB8" w:rsidRPr="00312B84" w14:paraId="6EB36986" w14:textId="77777777">
        <w:trPr>
          <w:cantSplit/>
        </w:trPr>
        <w:tc>
          <w:tcPr>
            <w:tcW w:w="3176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8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MSFT — Microsoft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8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$478.87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8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$495.40</w:t>
            </w:r>
          </w:p>
        </w:tc>
        <w:tc>
          <w:tcPr>
            <w:tcW w:w="23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85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+3.5%</w:t>
            </w:r>
          </w:p>
        </w:tc>
      </w:tr>
    </w:tbl>
    <w:p w14:paraId="6EB36987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收盘价，未按分红调整；OTF 居首，同业按跌幅排序。资料来源：交易所收盘价，经 stockanalysis.com</w:t>
      </w:r>
    </w:p>
    <w:p w14:paraId="6EB36988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OTF 仍是 BDC 组合中表现最差者，落后约 8pp，且低于除 ServiceNow 外的所有软件股 —— 尽管同期其 NAV 仅下跌约 4%。</w:t>
      </w:r>
    </w:p>
    <w:p w14:paraId="6EB36989" w14:textId="77777777" w:rsidR="00813CB8" w:rsidRPr="00312B84" w:rsidRDefault="00813CB8">
      <w:pPr>
        <w:rPr>
          <w:sz w:val="18"/>
          <w:szCs w:val="18"/>
        </w:rPr>
        <w:sectPr w:rsidR="00813CB8" w:rsidRPr="00312B84" w:rsidSect="004D0DF4">
          <w:headerReference w:type="default" r:id="rId40"/>
          <w:footerReference w:type="default" r:id="rId41"/>
          <w:headerReference w:type="first" r:id="rId42"/>
          <w:footerReference w:type="first" r:id="rId43"/>
          <w:pgSz w:w="11906" w:h="16838" w:code="9"/>
          <w:pgMar w:top="1280" w:right="832" w:bottom="600" w:left="830" w:header="440" w:footer="300" w:gutter="0"/>
          <w:cols w:space="720"/>
          <w:titlePg/>
          <w:docGrid w:linePitch="435"/>
        </w:sectPr>
      </w:pPr>
    </w:p>
    <w:p w14:paraId="6EB3698A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lastRenderedPageBreak/>
        <w:t>2.6 竞争对手分析</w:t>
      </w:r>
    </w:p>
    <w:p w14:paraId="6EB3698B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2.6.1 BDC 竞争对手分析</w:t>
      </w:r>
    </w:p>
    <w:p w14:paraId="6EB3698C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b/>
          <w:bCs/>
          <w:color w:val="000000"/>
          <w:sz w:val="18"/>
          <w:szCs w:val="18"/>
        </w:rPr>
        <w:t>本季确认：板块的 NAV 回撤是估值重置，尚不是信用周期的断裂 —— 但其下的信用分化显著加宽。</w:t>
      </w:r>
      <w:r>
        <w:rPr>
          <w:rFonts w:eastAsia="Calibri Light"/>
          <w:color w:val="000000"/>
          <w:sz w:val="18"/>
          <w:szCs w:val="18"/>
        </w:rPr>
        <w:t>六家 BDC 的 NAV 上半年全部下跌或持平，跌幅仍由利差估值主导 —— ARCC Q2 NAV 微降 1.2% 而其 NII 以 104% 覆盖分红，TSLX 与 GBDC 足额赚取重置后的派息 —— 但本季也出现了周期内首批真正个体性的信用事件：BXSL 成本口径非应计率几乎全因 Medallia 从 0.6% 跳升至 3.6%，GBDC 达 2.9%、涉及二十个发行人（含优先股头寸），六家中有三家削减分红。</w:t>
      </w:r>
    </w:p>
    <w:p w14:paraId="6EB3698D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b/>
          <w:bCs/>
          <w:color w:val="000000"/>
          <w:sz w:val="18"/>
          <w:szCs w:val="18"/>
        </w:rPr>
        <w:t>两个层次应分开解读：NAV 回撤是六家共担的板块 beta，而股价折价的分化 —— OTF 0.70x 对 TSLX 1.16x —— 定价的是各基金的软件集中度、分红政策与信用离群值。</w:t>
      </w:r>
      <w:r>
        <w:rPr>
          <w:rFonts w:eastAsia="Calibri Light"/>
          <w:color w:val="000000"/>
          <w:sz w:val="18"/>
          <w:szCs w:val="18"/>
        </w:rPr>
        <w:t>机会（如果有）在折价分化里而非 NAV 本身：OTF 以六家中最干净的账面信用承受最宽的折价 —— 要么是市场在损失兑现前正确定价其无可比拟的应用软件集中度，要么就是本报告自上市以来持续追踪的残余错误定价。</w:t>
      </w:r>
    </w:p>
    <w:tbl>
      <w:tblPr>
        <w:tblW w:w="1517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2314"/>
        <w:gridCol w:w="2314"/>
        <w:gridCol w:w="2314"/>
        <w:gridCol w:w="2314"/>
        <w:gridCol w:w="2314"/>
        <w:gridCol w:w="2316"/>
      </w:tblGrid>
      <w:tr w:rsidR="00813CB8" w:rsidRPr="00312B84" w14:paraId="6EB36995" w14:textId="77777777">
        <w:trPr>
          <w:cantSplit/>
          <w:tblHeader/>
        </w:trPr>
        <w:tc>
          <w:tcPr>
            <w:tcW w:w="1290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8E" w14:textId="77777777" w:rsidR="00813CB8" w:rsidRPr="00312B84" w:rsidRDefault="00813CB8">
            <w:pPr>
              <w:spacing w:after="40"/>
              <w:rPr>
                <w:sz w:val="16"/>
                <w:szCs w:val="16"/>
              </w:rPr>
            </w:pPr>
          </w:p>
        </w:tc>
        <w:tc>
          <w:tcPr>
            <w:tcW w:w="231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8F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OTF — Blue Owl Technology Finance</w:t>
            </w:r>
          </w:p>
        </w:tc>
        <w:tc>
          <w:tcPr>
            <w:tcW w:w="231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90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ARCC — Ares Capital</w:t>
            </w:r>
          </w:p>
        </w:tc>
        <w:tc>
          <w:tcPr>
            <w:tcW w:w="231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91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BXSL — Blackstone Secured Lending</w:t>
            </w:r>
          </w:p>
        </w:tc>
        <w:tc>
          <w:tcPr>
            <w:tcW w:w="231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92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OBDC — Blue Owl Capital Corp</w:t>
            </w:r>
          </w:p>
        </w:tc>
        <w:tc>
          <w:tcPr>
            <w:tcW w:w="231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93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TSLX — Sixth Street Specialty Lending</w:t>
            </w:r>
          </w:p>
        </w:tc>
        <w:tc>
          <w:tcPr>
            <w:tcW w:w="2316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94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GBDC — Golub Capital BDC</w:t>
            </w:r>
          </w:p>
        </w:tc>
      </w:tr>
      <w:tr w:rsidR="00813CB8" w:rsidRPr="00312B84" w14:paraId="6EB369AF" w14:textId="77777777">
        <w:trPr>
          <w:cantSplit/>
        </w:trPr>
        <w:tc>
          <w:tcPr>
            <w:tcW w:w="129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9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5"/>
                <w:szCs w:val="15"/>
              </w:rPr>
              <w:t>底层资产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9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公允值 $14.7bn、205 家公司；最大的科技聚焦 BDC</w:t>
            </w:r>
          </w:p>
          <w:p w14:paraId="6EB3699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第一留置权 77.8%，优先担保 81.4%；约 96% 浮息</w:t>
            </w:r>
          </w:p>
          <w:p w14:paraId="6EB3699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GICS 口径软件占 32.8%，科技相关约 50% —— 六家最高</w:t>
            </w:r>
          </w:p>
          <w:p w14:paraId="6EB3699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NAV $16.48，环比持平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9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公允值 $29.3bn、619 家公司；规模最大、最分散的 BDC</w:t>
            </w:r>
          </w:p>
          <w:p w14:paraId="6EB3699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第一留置权 59.1%；71% 浮息；高级贷款 JV 另加 3.9%</w:t>
            </w:r>
          </w:p>
          <w:p w14:paraId="6EB3699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软件与服务占公允值 22.0%，自 23.8% 下降</w:t>
            </w:r>
          </w:p>
          <w:p w14:paraId="6EB3699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NAV $19.35，环比 −1.2%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9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公允值 $13.4bn、313 家公司</w:t>
            </w:r>
          </w:p>
          <w:p w14:paraId="6EB369A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第一留置权 96.8% —— 六家最高；99.3% 的正常债权为浮息</w:t>
            </w:r>
          </w:p>
          <w:p w14:paraId="6EB369A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软件 18.9%，另有 IT 服务 4.7%</w:t>
            </w:r>
          </w:p>
          <w:p w14:paraId="6EB369A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NAV $25.53，1H26 −5.2%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A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公允值 $15.0bn、229 家公司；OTF 的多元化姊妹载体 —— 据 MS 发行人重合度 63%</w:t>
            </w:r>
          </w:p>
          <w:p w14:paraId="6EB369A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第一留置权 73.2%，优先担保 77.7%；96% 浮息</w:t>
            </w:r>
          </w:p>
          <w:p w14:paraId="6EB369A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软件约占组合 18%</w:t>
            </w:r>
          </w:p>
          <w:p w14:paraId="6EB369A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NAV $14.26，1H26 −3.7%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A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公允值 $3.3bn、137 家公司 —— 组内的专精型选手</w:t>
            </w:r>
          </w:p>
          <w:p w14:paraId="6EB369A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第一留置权 88.3%；96.1% 浮息；债权收益率 11.2%，六家最高</w:t>
            </w:r>
          </w:p>
          <w:p w14:paraId="6EB369A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软件未单列披露；按终端市场分类</w:t>
            </w:r>
          </w:p>
          <w:p w14:paraId="6EB369A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NAV $16.24，1H26 −4.4%</w:t>
            </w:r>
          </w:p>
        </w:tc>
        <w:tc>
          <w:tcPr>
            <w:tcW w:w="23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A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公允值 $8.2bn、424 家公司 —— 持仓最分散</w:t>
            </w:r>
          </w:p>
          <w:p w14:paraId="6EB369A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one-stop 贷款 87.4%，优先担保约 92%；98% 的贷款带利率下限</w:t>
            </w:r>
          </w:p>
          <w:p w14:paraId="6EB369A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软件散布于细分 GICS 结构中；Symplr 优先股处于非应计</w:t>
            </w:r>
          </w:p>
          <w:p w14:paraId="6EB369A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NAV $14.25，本财年迄今 −4.8%</w:t>
            </w:r>
          </w:p>
        </w:tc>
      </w:tr>
      <w:tr w:rsidR="00813CB8" w:rsidRPr="00312B84" w14:paraId="6EB369C9" w14:textId="77777777">
        <w:trPr>
          <w:cantSplit/>
        </w:trPr>
        <w:tc>
          <w:tcPr>
            <w:tcW w:w="129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B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5"/>
                <w:szCs w:val="15"/>
              </w:rPr>
              <w:t>关键因素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B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非应计率 0.6% 成本 / 0.1% 公允值 —— 六家最干净；Q2 新增一笔软件头寸</w:t>
            </w:r>
          </w:p>
          <w:p w14:paraId="6EB369B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PIK 占 TII 12.5%，第二高；约 98% 为原始承保</w:t>
            </w:r>
          </w:p>
          <w:p w14:paraId="6EB369B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6 月 18 日投资顾问遭 Section 36(b) 起诉；特别分红随 Q3'26 派付终止</w:t>
            </w:r>
          </w:p>
          <w:p w14:paraId="6EB369B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借款人 EBITDA $291mm，环比 +2.1%；净 LTV 40%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B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NII $0.50 以 104% 覆盖 $0.48 分红 —— 未削减</w:t>
            </w:r>
          </w:p>
          <w:p w14:paraId="6EB369B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PIK 占 TII 15.8%，六家最高</w:t>
            </w:r>
          </w:p>
          <w:p w14:paraId="6EB369B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非应计率 2.4% 成本 / 1.4% 公允值，较年末 1.8%/1.2% 上升；2 级评级科目增加 $0.4bn</w:t>
            </w:r>
          </w:p>
          <w:p w14:paraId="6EB369B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Q2 EPS $0.24 对 NII $0.50，因净损失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B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Medallia 转入非应计 —— 成本 $383mm、估值约 $196mm —— 推动成本口径非应计率 0.6% → 3.6%</w:t>
            </w:r>
          </w:p>
          <w:p w14:paraId="6EB369B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覆盖率 97%；JPM 模型预测 3Q26 分红自 $0.77 削至 $0.70</w:t>
            </w:r>
          </w:p>
          <w:p w14:paraId="6EB369B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PIK 占 TII 6.6%，处于低位</w:t>
            </w:r>
          </w:p>
          <w:p w14:paraId="6EB369B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组合收益率自 9.5% 压缩至 9.2%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B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常规分红自 Q2'26 起 $0.37 → $0.31；另加 $0.02 补充分红</w:t>
            </w:r>
          </w:p>
          <w:p w14:paraId="6EB369B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非应计率 2.8% 成本 / 0.8% 公允值，涉及 7 家公司</w:t>
            </w:r>
          </w:p>
          <w:p w14:paraId="6EB369B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TII 同比 −17%，因利率下行与缩表</w:t>
            </w:r>
          </w:p>
          <w:p w14:paraId="6EB369C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回购增厚：1H 以 $70.3mm 回购 6.3mm 股，NAV +$0.05/股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C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基础分红 $0.46 → $0.42；补充分红暂停</w:t>
            </w:r>
          </w:p>
          <w:p w14:paraId="6EB369C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非应计率 1.9% 成本 / 1.3% 公允值；ASP Unifrax 在列</w:t>
            </w:r>
          </w:p>
          <w:p w14:paraId="6EB369C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投放近乎停滞：新增承诺 $115mm 对还款 $192mm</w:t>
            </w:r>
          </w:p>
          <w:p w14:paraId="6EB369C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NII $0.43 以 102% 覆盖重置后基础分红</w:t>
            </w:r>
          </w:p>
        </w:tc>
        <w:tc>
          <w:tcPr>
            <w:tcW w:w="23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C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分红自 2026 年 3 月季度起 $0.39 → $0.33，−15%</w:t>
            </w:r>
          </w:p>
          <w:p w14:paraId="6EB369C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非应计率三个财季内 0.6% → 2.9%（成本口径）—— 15 个贷款 + 5 个优先股发行人</w:t>
            </w:r>
          </w:p>
          <w:p w14:paraId="6EB369C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PIK 占 TII 8.6%，同比自 6.1% 上升</w:t>
            </w:r>
          </w:p>
          <w:p w14:paraId="6EB369C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6 月季度新增承诺仅 $12.6mm</w:t>
            </w:r>
          </w:p>
        </w:tc>
      </w:tr>
      <w:tr w:rsidR="00813CB8" w:rsidRPr="00312B84" w14:paraId="6EB369DD" w14:textId="77777777">
        <w:trPr>
          <w:cantSplit/>
        </w:trPr>
        <w:tc>
          <w:tcPr>
            <w:tcW w:w="129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C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5"/>
                <w:szCs w:val="15"/>
              </w:rPr>
              <w:lastRenderedPageBreak/>
              <w:t>流动性压力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C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无 —— 流动性 $2.0bn；净杠杆 0.93x，处于 0.90–1.25x 目标区间低端</w:t>
            </w:r>
          </w:p>
          <w:p w14:paraId="6EB369C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新发 $500mm 6.50% 2029 年 10 月票据；2026 年 6 月票据已偿还</w:t>
            </w:r>
          </w:p>
          <w:p w14:paraId="6EB369C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Q2 回购 $55mm，近三个季度约 $170mm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C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无 —— 融资额度约 $6.7bn；净杠杆约 1.11x</w:t>
            </w:r>
          </w:p>
          <w:p w14:paraId="6EB369C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1 月发行 $750mm 5.343% 2031 票据；$1.0bn 2026 年 7 月票据到期偿还</w:t>
            </w:r>
          </w:p>
          <w:p w14:paraId="6EB369D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$1bn 回购授权未动用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D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无，但 $700mm 2.750% 票据 2026 年 9 月到期 —— 下一个考验</w:t>
            </w:r>
          </w:p>
          <w:p w14:paraId="6EB369D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未使用额度 $2.8bn + 现金 $183mm；净杠杆 1.25x</w:t>
            </w:r>
          </w:p>
          <w:p w14:paraId="6EB369D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2026 年 2 月授权 $250mm 回购，未动用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D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无 —— 未提取 $4.1bn + 现金 $238mm；净杠杆 1.11x，覆盖率 187%</w:t>
            </w:r>
          </w:p>
          <w:p w14:paraId="6EB369D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1H 及 7 月合计偿还 $1.5bn 票据</w:t>
            </w:r>
          </w:p>
          <w:p w14:paraId="6EB369D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$300mm 回购计划，余 $230mm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D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无 —— 循环额度 $1.1bn + 现金 $194mm；总杠杆 1.27x、净约 1.17x</w:t>
            </w:r>
          </w:p>
          <w:p w14:paraId="6EB369D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5 月发行 $300mm 5.65% 2031 票据；2026 年 8 月票据于季后偿还</w:t>
            </w:r>
          </w:p>
          <w:p w14:paraId="6EB369D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小规模回购重启 —— 一年多来首次</w:t>
            </w:r>
          </w:p>
        </w:tc>
        <w:tc>
          <w:tcPr>
            <w:tcW w:w="23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D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无 —— JPM 融资额度 $1.7bn 未提取，7 月展期至 2031；净杠杆 1.23x</w:t>
            </w:r>
          </w:p>
          <w:p w14:paraId="6EB369D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5 月发行 $500mm 6.25% 2031 票据</w:t>
            </w:r>
          </w:p>
          <w:p w14:paraId="6EB369D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本财年迄今回购 $78mm，增厚 +$0.04/股</w:t>
            </w:r>
          </w:p>
        </w:tc>
      </w:tr>
      <w:tr w:rsidR="00813CB8" w:rsidRPr="00312B84" w14:paraId="6EB369EB" w14:textId="77777777">
        <w:trPr>
          <w:cantSplit/>
        </w:trPr>
        <w:tc>
          <w:tcPr>
            <w:tcW w:w="129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D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5"/>
                <w:szCs w:val="15"/>
              </w:rPr>
              <w:t>P/NAV 与股息率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D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P/NAV 0.70x —— 六家中折价最深</w:t>
            </w:r>
          </w:p>
          <w:p w14:paraId="6EB369E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股价股息率 12.2%（基础）；含最后一期特别分红 14.0%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E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P/NAV 1.03x</w:t>
            </w:r>
          </w:p>
          <w:p w14:paraId="6EB369E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股价股息率 9.7%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E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P/NAV 0.97x</w:t>
            </w:r>
          </w:p>
          <w:p w14:paraId="6EB369E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股价股息率 12.5% —— 模型已预设削减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E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P/NAV 0.82x</w:t>
            </w:r>
          </w:p>
          <w:p w14:paraId="6EB369E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股价股息率 10.6%（常规）；含补充约 11.3%</w:t>
            </w:r>
          </w:p>
        </w:tc>
        <w:tc>
          <w:tcPr>
            <w:tcW w:w="23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E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P/NAV 1.16x —— 六家中唯一溢价</w:t>
            </w:r>
          </w:p>
          <w:p w14:paraId="6EB369E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股价股息率 9.0%</w:t>
            </w:r>
          </w:p>
        </w:tc>
        <w:tc>
          <w:tcPr>
            <w:tcW w:w="23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9E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P/NAV 0.93x</w:t>
            </w:r>
          </w:p>
          <w:p w14:paraId="6EB369E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5"/>
                <w:szCs w:val="15"/>
              </w:rPr>
              <w:t>•  股价股息率 10.0%</w:t>
            </w:r>
          </w:p>
        </w:tc>
      </w:tr>
    </w:tbl>
    <w:p w14:paraId="6EB369EC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全部基本面数据取自各公司 Q2'26 10-Q —— GBDC 的 6 月季度为其财年 Q3，其资产负债表对比期自 2025 年 9 月起算；BXSL、OBDC、TSLX 与 GBDC 的 10-Q 披露半年度或财年迄今的 NAV 对比而非环比。P/NAV 与股息率按 2026 年 8 月 14 日收盘价对 6 月 30 日 NAV 计算；股息率按已宣告常规分红年化。资料来源：公司 10-Q；stockanalysis.com 收盘价</w:t>
      </w:r>
    </w:p>
    <w:p w14:paraId="6EB369ED" w14:textId="77777777" w:rsidR="00813CB8" w:rsidRPr="00312B84" w:rsidRDefault="00813CB8">
      <w:pPr>
        <w:rPr>
          <w:sz w:val="18"/>
          <w:szCs w:val="18"/>
        </w:rPr>
        <w:sectPr w:rsidR="00813CB8" w:rsidRPr="00312B84">
          <w:headerReference w:type="default" r:id="rId44"/>
          <w:footerReference w:type="default" r:id="rId45"/>
          <w:pgSz w:w="16838" w:h="11906" w:orient="landscape" w:code="9"/>
          <w:pgMar w:top="1280" w:right="832" w:bottom="600" w:left="830" w:header="440" w:footer="300" w:gutter="0"/>
          <w:cols w:space="720"/>
          <w:docGrid w:linePitch="360"/>
        </w:sectPr>
      </w:pPr>
    </w:p>
    <w:p w14:paraId="6EB369EE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lastRenderedPageBreak/>
        <w:t>2.6.2 回报对比</w:t>
      </w:r>
    </w:p>
    <w:p w14:paraId="6EB369EF" w14:textId="08B1F76A" w:rsidR="00813CB8" w:rsidRPr="00312B84" w:rsidRDefault="002B4BED" w:rsidP="00636FA1">
      <w:pPr>
        <w:spacing w:before="160" w:after="80"/>
        <w:ind w:left="20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18"/>
          <w:szCs w:val="18"/>
        </w:rPr>
        <w:t>每股 NAV 与股息率</w:t>
      </w:r>
    </w:p>
    <w:p w14:paraId="6EB369F0" w14:textId="39616BF8" w:rsidR="00813CB8" w:rsidRPr="00312B84" w:rsidRDefault="002B4BED" w:rsidP="00167E75">
      <w:pPr>
        <w:spacing w:before="120" w:after="16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EB36AA9" wp14:editId="03E4B90A">
            <wp:extent cx="3341760" cy="1950177"/>
            <wp:effectExtent l="0" t="0" r="4445" b="0"/>
            <wp:docPr id="408988253" name="图片 40898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584" cy="195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0" distB="0" distL="0" distR="0" wp14:anchorId="6977DFB5" wp14:editId="4A35E39E">
            <wp:extent cx="3106789" cy="1813053"/>
            <wp:effectExtent l="0" t="0" r="0" b="8890"/>
            <wp:docPr id="1619394654" name="图片 1619394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9452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599" cy="182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69F3" w14:textId="3AC0F8A7" w:rsidR="00813CB8" w:rsidRPr="00312B84" w:rsidRDefault="002B4BED" w:rsidP="00167E75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组合内所有 NAV 都低于五个季度前，且跌幅集中在窄带内 —— BXSL 较 1Q25 −6.8%，TSLX −5.0%，OTF 较 1Q25 的 $17.1 −3.6% —— 这是共同利差估值冲击而非个体信用损失的特征。OTF 本季持平、ARCC −1.2%，让软件持仓最大的两个组合落在同一窄幅结果的两端；组内的环比企稳是 4Q25 软件重定价开始以来的第一次。</w:t>
      </w:r>
    </w:p>
    <w:p w14:paraId="6EB369F4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过去两个季度的派息重置体现为 NAV 股息率的收敛：OBDC 削减后为 8.7%，GBDC 9.3%；OTF 的 9.7% —— 仍受最后一期 $0.05 特别分红抬高 —— 落在中游而非顶部。BXSL 的 12.1% 是离群值，且最好视作不可持续：其覆盖率 97%，模型已预测削减，图表高估了其可持续股息率。自 Q4'26 起 OTF 仅按基础分红的 NAV 股息率为 8.5%，将移向组内低端 —— 12%+ 的股价股息率叙事完全建立在 0.70x 折价之上。</w:t>
      </w:r>
    </w:p>
    <w:p w14:paraId="6EB369F5" w14:textId="77777777" w:rsidR="00813CB8" w:rsidRPr="00312B84" w:rsidRDefault="002B4BED">
      <w:pPr>
        <w:spacing w:before="160" w:after="80"/>
        <w:ind w:left="20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18"/>
          <w:szCs w:val="18"/>
        </w:rPr>
        <w:t>PIK 收益占比</w:t>
      </w:r>
    </w:p>
    <w:p w14:paraId="6EB369F6" w14:textId="77777777" w:rsidR="00813CB8" w:rsidRPr="00312B84" w:rsidRDefault="002B4BED">
      <w:pPr>
        <w:spacing w:before="120" w:after="16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EB36AAD" wp14:editId="46D9AC85">
            <wp:extent cx="5037414" cy="2939723"/>
            <wp:effectExtent l="0" t="0" r="0" b="0"/>
            <wp:docPr id="73707952" name="图片 73707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397" cy="295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69F7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OTF 的 PIK 占比连续两个季度下降至 12.5%，而组内多元化名字缓步上行 —— GBDC 从五个季度前的 10.2% 升至 11.0%，OBDC 至 10.7% —— OTF 与多元化组的差距已从 2025 年初的约 5pp 收窄至 2pp 以内。ARCC 以 15.8% 居首，提醒我们较高的 PIK 部分是中上部市场放贷的商业模式选择；对信用真正相关的是方向，而 OTF 是六家中唯一连续两个季度下行的。</w:t>
      </w:r>
    </w:p>
    <w:p w14:paraId="6EB369F8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2.6.3 资产质量对比</w:t>
      </w:r>
    </w:p>
    <w:p w14:paraId="6EB369F9" w14:textId="129984BD" w:rsidR="00813CB8" w:rsidRPr="00312B84" w:rsidRDefault="002B4BED" w:rsidP="00167E75">
      <w:pPr>
        <w:spacing w:before="160" w:after="80"/>
        <w:ind w:left="20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18"/>
          <w:szCs w:val="18"/>
        </w:rPr>
        <w:t>非应计率与组合公司平均 EBITDA</w:t>
      </w:r>
    </w:p>
    <w:p w14:paraId="6EB369FA" w14:textId="54E4394F" w:rsidR="00167E75" w:rsidRPr="00312B84" w:rsidRDefault="002B4BED" w:rsidP="00167E75">
      <w:pPr>
        <w:spacing w:before="120" w:after="160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EB36AAF" wp14:editId="0D69C279">
            <wp:extent cx="3325243" cy="1940539"/>
            <wp:effectExtent l="0" t="0" r="0" b="8255"/>
            <wp:docPr id="781288990" name="图片 781288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789" cy="195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0" distB="0" distL="0" distR="0" wp14:anchorId="6F79AD00" wp14:editId="482A9BAB">
            <wp:extent cx="3166913" cy="1847367"/>
            <wp:effectExtent l="0" t="0" r="0" b="0"/>
            <wp:docPr id="6163779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803" cy="18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BB64" w14:textId="77777777" w:rsidR="00C27C7A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公允值口径非应计图让本季的分化可见：BXSL 因 Medallia 在 1Q26 冲高至 3.1%、计提估值后回落至 1.8%；GBDC 稳步爬升至 1.9%；ARCC 与 TSLX 处于 1.3–1.4% 区间 —— 而 OTF 上市以来从未超过 0.2%，期末为 0.1%。两点保留让对比更诚实：OTF 的组合在合并后更年轻，其软件借款人的压力（若出现）将体现在 2028 年再融资墙而非当期票息上；ARCC 与 BXSL 的分子仅计贷款，读数略偏低。即便如此，AI 重定价五个季度后，OTF 的已实现信用压力仍比所有同业低一个数量级。</w:t>
      </w:r>
    </w:p>
    <w:p w14:paraId="6EB369FD" w14:textId="6A91C122" w:rsidR="00813CB8" w:rsidRPr="00312B84" w:rsidRDefault="00C27C7A" w:rsidP="00C27C7A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借款人规模把六家分成三档：ARCC 与 OTF 加权平均 EBITDA $270–290mm，OBDC 与 BXSL $220–240mm，TSLX 核心账簿 $137mm，GBDC —— 仅披露中位数、水平不可比 —— $75mm。OTF 自 1Q25 以来除一个季度外每季上升，从 $250.9mm 到 $290.8mm、+15.9%，并于本季首次超过 ARCC（后者自 4Q25 峰值 $307.2mm 回落 $32.8mm）。方向对，但构成不理想：OTF $39.9mm 的增量中 $38.7mm 发生在截至 4Q25 的三个季度 —— 彼时 OTF II 合并把更大的借款人并入账簿 —— 此后两个季度仅增 $1.2mm。借款人盈利增速是 AI 颠覆论断言最先恶化的变量；组合加权层面它已停止复利增长但尚未转跌，这一读数弱于 2025 年的斜率所暗示的。三点保留：数字按公允值加权，少数大头寸主导；数据来自约滞后一个季度的借款人财务报表，2Q26 反映的是截至 3 月的业绩；六家均不披露头寸层面的离散度。</w:t>
      </w:r>
    </w:p>
    <w:p w14:paraId="6EB369FF" w14:textId="5338B929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 xml:space="preserve">2.7 </w:t>
      </w:r>
      <w:r w:rsidR="00071AE0">
        <w:rPr>
          <w:rFonts w:asciiTheme="minorEastAsia" w:hAnsiTheme="minorEastAsia" w:hint="eastAsia"/>
          <w:color w:val="001F5F"/>
          <w:sz w:val="32"/>
          <w:szCs w:val="32"/>
        </w:rPr>
        <w:t>Things</w:t>
      </w:r>
      <w:r w:rsidR="00071AE0">
        <w:rPr>
          <w:rFonts w:hint="eastAsia"/>
          <w:color w:val="001F5F"/>
          <w:sz w:val="32"/>
          <w:szCs w:val="32"/>
        </w:rPr>
        <w:t xml:space="preserve"> we should know</w:t>
      </w:r>
    </w:p>
    <w:p w14:paraId="6EB36A00" w14:textId="77777777" w:rsidR="00813CB8" w:rsidRPr="00312B84" w:rsidRDefault="002B4BED">
      <w:pPr>
        <w:spacing w:before="160" w:after="80"/>
        <w:ind w:left="20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18"/>
          <w:szCs w:val="18"/>
        </w:rPr>
        <w:t>费用机制已进入非线性区间</w:t>
      </w:r>
    </w:p>
    <w:p w14:paraId="6EB36A01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两个费用临界点现已逼近当前运行水平。其一，资产覆盖率低于 200% 时，管理费从平均总资产的 1.50% 降档至 1.00%；OTF 期末为 203%，因此自此以后几乎全部增量杠杆按更低的 1.00% 边际费率计费 —— 对杠杆抬升成本是一个不大但真实的抵消。其二，收益激励费已切换至上市后档：季度 hurdle 1.5% 以上按 17.5% 计提，catch-up 在季度 NAV 的 1.82% 处补齐。Q2 激励前收益约为期初 NAV 的 2.2%，稳稳处于 17.5% 边际区间，但季度 NII 若下降约 18% 就会落入 catch-up 区间 —— 在该区间每一边际美元收益全部归投资顾问。基础覆盖率 86% 的背景下，这一非线性值得在季度回顾中常设一行；本季资本利得激励计提为零（Q1 曾冲回 $38.8mm）。</w:t>
      </w:r>
    </w:p>
    <w:p w14:paraId="6EB36A02" w14:textId="77777777" w:rsidR="00813CB8" w:rsidRPr="00312B84" w:rsidRDefault="002B4BED">
      <w:pPr>
        <w:spacing w:before="160" w:after="80"/>
        <w:ind w:left="20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18"/>
          <w:szCs w:val="18"/>
        </w:rPr>
        <w:t>分红自 Q4'26 起重置</w:t>
      </w:r>
    </w:p>
    <w:p w14:paraId="6EB36A03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五期 $0.05 特别分红随 10 月 6 日派付结束，run-rate 分红自 Q4'26 起降至 $0.35 基础档。按 8 月 14 日收盘价，前瞻股息率从 14.0% 重置为 12.2%，NAV 口径从 9.7% 降至 8.5% —— OTF 在同业股息率表中的位置从上半区移至中游。值得盯的是董事会的应对：每股 $0.32 的 spillover 收益（约一个季度基础分红）给了它以补充分红过桥的空间，而 86% 的 GAAP 基础覆盖率则支持让股息率自然重置。若 Q3 业绩同时宣布补充分红，将是管理层如何在折价与资产负债表稳健之间权衡的明确信号。</w:t>
      </w:r>
    </w:p>
    <w:p w14:paraId="6EB36A04" w14:textId="77777777" w:rsidR="00813CB8" w:rsidRPr="00312B84" w:rsidRDefault="002B4BED">
      <w:pPr>
        <w:pStyle w:val="Heading1"/>
        <w:spacing w:before="620" w:after="16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40"/>
          <w:szCs w:val="40"/>
        </w:rPr>
        <w:t>3. 私募信贷与公开市场 BDC 行业</w:t>
      </w:r>
    </w:p>
    <w:p w14:paraId="6EB36A05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3.1 券商观点汇总</w:t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"/>
        <w:gridCol w:w="2305"/>
        <w:gridCol w:w="2305"/>
        <w:gridCol w:w="2305"/>
        <w:gridCol w:w="2304"/>
      </w:tblGrid>
      <w:tr w:rsidR="00813CB8" w:rsidRPr="00312B84" w14:paraId="6EB36A0B" w14:textId="77777777">
        <w:trPr>
          <w:cantSplit/>
          <w:tblHeader/>
        </w:trPr>
        <w:tc>
          <w:tcPr>
            <w:tcW w:w="1025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06" w14:textId="77777777" w:rsidR="00813CB8" w:rsidRPr="00312B84" w:rsidRDefault="00813CB8">
            <w:pPr>
              <w:spacing w:after="40"/>
              <w:rPr>
                <w:sz w:val="16"/>
                <w:szCs w:val="16"/>
              </w:rPr>
            </w:pPr>
          </w:p>
        </w:tc>
        <w:tc>
          <w:tcPr>
            <w:tcW w:w="2305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0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J.P. Morgan — 信用团队</w:t>
            </w:r>
          </w:p>
        </w:tc>
        <w:tc>
          <w:tcPr>
            <w:tcW w:w="2305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08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J.P. Morgan — 股票团队</w:t>
            </w:r>
          </w:p>
        </w:tc>
        <w:tc>
          <w:tcPr>
            <w:tcW w:w="2305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0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Morgan Stanley</w:t>
            </w:r>
          </w:p>
        </w:tc>
        <w:tc>
          <w:tcPr>
            <w:tcW w:w="230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0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Goldman Sachs</w:t>
            </w:r>
          </w:p>
        </w:tc>
      </w:tr>
      <w:tr w:rsidR="00813CB8" w:rsidRPr="00312B84" w14:paraId="6EB36A11" w14:textId="77777777">
        <w:trPr>
          <w:cantSplit/>
        </w:trPr>
        <w:tc>
          <w:tcPr>
            <w:tcW w:w="1025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0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覆盖范围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0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BDC 债券 / 私募信贷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0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公开市场 BDC 股票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0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私募信贷与 BDC — 策略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1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杠杆信贷，聚焦软件</w:t>
            </w:r>
          </w:p>
        </w:tc>
      </w:tr>
      <w:tr w:rsidR="00813CB8" w:rsidRPr="00312B84" w14:paraId="6EB36A17" w14:textId="77777777">
        <w:trPr>
          <w:cantSplit/>
        </w:trPr>
        <w:tc>
          <w:tcPr>
            <w:tcW w:w="1025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1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观点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1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超配 —— 坏消息已定价，利差压缩是主线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1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维持谨慎 —— 信用逆风抵消利率顺风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1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谨慎 —— 压力受控，但未解除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1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分化，而非全面恶化</w:t>
            </w:r>
          </w:p>
        </w:tc>
      </w:tr>
      <w:tr w:rsidR="00813CB8" w:rsidRPr="00312B84" w14:paraId="6EB36A29" w14:textId="77777777">
        <w:trPr>
          <w:cantSplit/>
        </w:trPr>
        <w:tc>
          <w:tcPr>
            <w:tcW w:w="1025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1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lastRenderedPageBreak/>
              <w:t>要点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1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利差走了个来回：BDC 指数从 4 月约 290bp 收窄至 7 月约 217bp，仅比 2025 年均值宽 8bp；预计再压缩 20bp+</w:t>
            </w:r>
          </w:p>
          <w:p w14:paraId="6EB36A1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29 家 BDC 非应计率成本口径 2.46%，环比 +40bp；NAV 平均 −3.25%，29 家中 28 家下跌 —— 恶化被量化且受控</w:t>
            </w:r>
          </w:p>
          <w:p w14:paraId="6EB36A1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坏 PIK 表观降至债权账簿的 1.83%，但剔除 Medallia 与 Affordable Care 转入非应计的影响后约上升 50bp；坏 PIK + 非应计合计 4.21%</w:t>
            </w:r>
          </w:p>
          <w:p w14:paraId="6EB36A1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2Q 赎回申请达 NAV 的 12.2%，全部按 5% 上限兑付；净流出 $3.1bn 对 $17bn 银行授信 —— 是流动性事件，不是偿付能力事件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1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板块 P/NAV 年初至今下跌约 13.4%，接近过去十二个月低点；只有信用与盈利持续稳定才会重估</w:t>
            </w:r>
          </w:p>
          <w:p w14:paraId="6EB36A1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1Q NAV 下跌主要由利差驱动；预计 2Q 为温和正增长的 NAV 季度</w:t>
            </w:r>
          </w:p>
          <w:p w14:paraId="6EB36A1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恶化集中且由软件驱动：FSK 成本口径非应计 8.1%，BXSL 因三笔软件新增升至 4.7%</w:t>
            </w:r>
          </w:p>
          <w:p w14:paraId="6EB36A2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分红重置接近完成 —— 2026 年覆盖率集中在 91–101%；模型预测 BXSL 削至 $0.70；非交易型赎回对公开 BDC 反而是净顺风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2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正式违约预测：2H26 至 1H27 私募信贷约 8%、BSL 5.5%，以软件为中心、偏向困境交换；回收率 70–80%</w:t>
            </w:r>
          </w:p>
          <w:p w14:paraId="6EB36A2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BDC 平均非应计率成本口径 2.8% —— 五年新高；PIK 占收入 6.4%；约 20% 的 PIK 贷款估值低于 90，为后疫情时代新高</w:t>
            </w:r>
          </w:p>
          <w:p w14:paraId="6EB36A2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流动性不等于偿付能力：年初至今 IG 发行 $14bn、利差约 240bp；2Q 赎回申请约 $12bn 全部被限；零售仅约占 AUM 20%</w:t>
            </w:r>
          </w:p>
          <w:p w14:paraId="6EB36A2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软件是断层线但尚未进入违约数据：软件中位杠杆 8.3x 对全行业 7.0x，现金覆盖 1.4x 最低；约 25% 的软件贷款在 2028 年底前到期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2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软件是两个市场的最大行业权重 —— 占美元贷款指数 15%+、直贷指数 23% —— 美元软件贷款年初至今 −9 点</w:t>
            </w:r>
          </w:p>
          <w:p w14:paraId="6EB36A2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到期墙是催化剂：2028 年前到期的美元软件贷款 $98bn，占软件到期量 29%；50% 评级 B− 或更低，没有下调缓冲</w:t>
            </w:r>
          </w:p>
          <w:p w14:paraId="6EB36A2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回收率悲观情绪过度：2016 年以来 30 笔软件贷款违约的回收率与整体第一留置权一致；风险在重复违约者与 cov-lite LME</w:t>
            </w:r>
          </w:p>
          <w:p w14:paraId="6EB36A2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私募信贷以约 $200bn 机会型待投资金吸收冲击；该行违约预测温和：FY26 贷款 4.75%</w:t>
            </w:r>
          </w:p>
        </w:tc>
      </w:tr>
      <w:tr w:rsidR="00813CB8" w:rsidRPr="00312B84" w14:paraId="6EB36A2F" w14:textId="77777777">
        <w:trPr>
          <w:cantSplit/>
        </w:trPr>
        <w:tc>
          <w:tcPr>
            <w:tcW w:w="1025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2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环比变化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2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更积极 —— 自 4 月上调路径以来维持超配，现主张利差进一步压缩；偏好私募非交易型结构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2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谨慎不变 —— 2Q 前瞻未调整任何评级；仅超配 ARCC 与 BXSL</w:t>
            </w:r>
          </w:p>
        </w:tc>
        <w:tc>
          <w:tcPr>
            <w:tcW w:w="23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2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框架延续『显著但非系统性』；对流动性略趋平静，但正式给出 8% 违约预测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2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重申分化观点，新增回收率研究证据；对私募信贷的吸收角色温和积极</w:t>
            </w:r>
          </w:p>
        </w:tc>
      </w:tr>
    </w:tbl>
    <w:p w14:paraId="6EB36A30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各列对应本季实际收到的研究报告；J.P. Morgan 两个团队因立场分歧分列。资料来源：存档券商报告 11 份，2026 年 4–7 月</w:t>
      </w:r>
    </w:p>
    <w:p w14:paraId="6EB36A31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3.2 共识与关键分歧</w:t>
      </w:r>
    </w:p>
    <w:p w14:paraId="6EB36A32" w14:textId="77777777" w:rsidR="00813CB8" w:rsidRPr="00312B84" w:rsidRDefault="002B4BED">
      <w:pPr>
        <w:spacing w:before="160" w:after="80"/>
        <w:ind w:left="20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18"/>
          <w:szCs w:val="18"/>
        </w:rPr>
        <w:t>市场共识</w:t>
      </w:r>
    </w:p>
    <w:p w14:paraId="6EB36A33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软件与 AI 敞口是板块的决定性断层线，但迄今的压力是个体性、集中式的 —— 仅 Medallia 一家就占 1Q26 全部成本口径非应计新增的 26% —— 而非系统性。</w:t>
      </w:r>
    </w:p>
    <w:p w14:paraId="6EB36A34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基本面在可控基数上方向性走弱：各家统计口径下非应计率均处多年高位，PIK 偏高，NAV 下跌主要由利差估值而非已实现损失驱动。</w:t>
      </w:r>
    </w:p>
    <w:p w14:paraId="6EB36A35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非交易型基金的赎回压力是流动性事件而非偿付能力事件：2Q 各处 5% 上限全部守住，净流出仅约 NAV 的 2.6%，远小于银行授信与流动资产缓冲，且公开市场融资已重新打开。</w:t>
      </w:r>
    </w:p>
    <w:p w14:paraId="6EB36A36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四家机构共同盯的催化剂是 2028 年软件到期墙 —— 而非当期付款违约；再融资摩擦是 AI 时代信用压力最先兑现之处。</w:t>
      </w:r>
    </w:p>
    <w:p w14:paraId="6EB36A37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对软件信贷回收率的悲观被认为过度：小型贷款人群体的假设回收率 70–80%，且 2016 年以来软件已实现回收率与整体第一留置权一致。</w:t>
      </w:r>
    </w:p>
    <w:p w14:paraId="6EB36A38" w14:textId="77777777" w:rsidR="00813CB8" w:rsidRPr="00312B84" w:rsidRDefault="002B4BED">
      <w:pPr>
        <w:spacing w:before="160" w:after="80"/>
        <w:ind w:left="20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18"/>
          <w:szCs w:val="18"/>
        </w:rPr>
        <w:t>关键关注 / 关键分歧</w:t>
      </w:r>
    </w:p>
    <w:p w14:paraId="6EB36A39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分歧归结为两点：当前定价是否已折现即将到来的信用周期，以及该周期会有多严重。</w:t>
      </w:r>
    </w:p>
    <w:p w14:paraId="6EB36A3A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b/>
          <w:bCs/>
          <w:color w:val="000000"/>
          <w:sz w:val="18"/>
          <w:szCs w:val="18"/>
        </w:rPr>
        <w:t>同一机构内的债券对股票分歧。</w:t>
      </w:r>
      <w:r>
        <w:rPr>
          <w:rFonts w:eastAsia="Calibri Light"/>
          <w:color w:val="000000"/>
          <w:sz w:val="18"/>
          <w:szCs w:val="18"/>
        </w:rPr>
        <w:t>J.P. Morgan 信用团队超配 BDC 债券 —— 指数距 2025 年均值仅 8bp、管理人支持已有成型模板、预计再压缩 20bp+ —— 而其股票团队在板块 0.84x P/NAV 处维持谨慎，拒绝在信用持续稳定前重估。争议在于：债券市场的正常化与股票市场的谨慎，哪个正确折现了两个团队共同记录的恶化。</w:t>
      </w:r>
    </w:p>
    <w:p w14:paraId="6EB36A3B" w14:textId="77777777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b/>
          <w:bCs/>
          <w:color w:val="000000"/>
          <w:sz w:val="18"/>
          <w:szCs w:val="18"/>
        </w:rPr>
        <w:t>违约严重度：8% 还是分化。</w:t>
      </w:r>
      <w:r>
        <w:rPr>
          <w:rFonts w:eastAsia="Calibri Light"/>
          <w:color w:val="000000"/>
          <w:sz w:val="18"/>
          <w:szCs w:val="18"/>
        </w:rPr>
        <w:t>Morgan Stanley 预测 2H26–1H27 私募信贷约 8% 的高于均值违约潮，为 2010 年以来最高；J.P. Morgan 信用团队认为近期没有会显著推高非应计的破产管线；Goldman FY26 贷款违约预测 4.75%，低于当前的 4.9% —— 将结局框定为再融资摩擦与分化。2028 年软件到期墙究竟转化为违约潮，还是被展期修订（amend-and-extend）、发起人股权与待投资金吸收，是板块的决定性赌注。</w:t>
      </w:r>
    </w:p>
    <w:p w14:paraId="6EB36A3C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3.3 基本面</w:t>
      </w:r>
    </w:p>
    <w:p w14:paraId="2622F03E" w14:textId="77777777" w:rsidR="00615CD8" w:rsidRPr="00312B84" w:rsidRDefault="00615CD8" w:rsidP="00615CD8">
      <w:pPr>
        <w:pStyle w:val="Heading3"/>
        <w:spacing w:before="3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杠杆与 EBITDA 覆盖倍数</w:t>
      </w:r>
    </w:p>
    <w:p w14:paraId="25674B5F" w14:textId="77777777" w:rsidR="00615CD8" w:rsidRPr="00312B84" w:rsidRDefault="00615CD8" w:rsidP="00615CD8">
      <w:pPr>
        <w:spacing w:before="140" w:after="10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31EB591B" wp14:editId="2CC63E19">
            <wp:extent cx="6504940" cy="3503638"/>
            <wp:effectExtent l="0" t="0" r="0" b="0"/>
            <wp:docPr id="269436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59265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350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54FB" w14:textId="77777777" w:rsidR="00615CD8" w:rsidRPr="00312B84" w:rsidRDefault="00615CD8" w:rsidP="00615CD8">
      <w:pPr>
        <w:spacing w:after="18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私募中间市场的杠杆已去化三年，而其公开市场对照组在重新加杠杆。Fitch 监测的私募组合为 5.9x，环比降 0.1x，较 2022 年末近 6.9x 的峰值低约一整倍；Lincoln 估值样本异常稳定，全程处于 4.8–5.2x 区间的 5.2x。真正逆势而动的是灰线：单 B 公开贷款借款人已从 5.1x 低点重新加杠杆至 5.5x，Fitch 口径下私募与公开的杠杆差从 2022 年峰值的约 1.7 倍收窄至 0.4 倍 —— 而按 Lincoln 样本，私募借款人的杠杆现已比可比公开发行人低 0.3 倍。对 OTF 的解读是：进入本轮信用周期的借款人总体上比进入 2023 年时杠杆更低，因此板块非应计率的上升并非由中位数层面的资产负债表杠杆驱动。杠杆真正咬人的地方在行业层面：S&amp;P 信用估计样本中软件借款人中位杠杆 8.3x，对全行业 7.0x，即比图中 Fitch 中位数高出两倍多 —— 恰恰集中在主导 OTF 账簿的终端市场。</w:t>
      </w:r>
    </w:p>
    <w:p w14:paraId="0E9FD004" w14:textId="77777777" w:rsidR="00615CD8" w:rsidRPr="00312B84" w:rsidRDefault="00615CD8" w:rsidP="00615CD8">
      <w:pPr>
        <w:spacing w:before="140" w:after="10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C48FE07" wp14:editId="27462E2F">
            <wp:extent cx="6504940" cy="3516356"/>
            <wp:effectExtent l="0" t="0" r="0" b="0"/>
            <wp:docPr id="277860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21323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35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F116" w14:textId="77777777" w:rsidR="00615CD8" w:rsidRPr="00312B84" w:rsidRDefault="00615CD8" w:rsidP="00615CD8">
      <w:pPr>
        <w:spacing w:after="18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覆盖率讲的是与杠杆相反的故事 —— 它在加息周期中崩塌，至今只修复了一部分。Fitch 私募中位数 2024 年初见底于 1.56x，已回升至 2.0x；Lincoln 见底 1.36x，回到 1.9x。两者仍比 2021–22 年低约 0.8 倍，且仍低于 2.5x 的公开单 B 基准，因此典型直贷借款人在现金流缓冲上依然呈低单 B 信用特征 —— 即便已连续四个季度改善。其机制对预测很关键：这轮修复由基准利率而非盈利驱动 —— SOFR 下行削减了浮息贷款的现金利息支出，同一变动也把 OTF 的资产收益率在五个季度里从 10.4% 压到 9.6%。这种对称性是组合层面的要点：修复借款人覆盖率的利率路径，正是侵蚀 OTF 投资收益的路径 —— 借款人基本面改善与 NII 下行是同一个变量的两个侧面，而非相互抵消的信号。这也意味着缓冲是脆弱的 —— 降息一旦停滞，覆盖率修复就会在中位数仍低于 2.0x 时中断。</w:t>
      </w:r>
    </w:p>
    <w:p w14:paraId="135CA559" w14:textId="77777777" w:rsidR="00615CD8" w:rsidRPr="00312B84" w:rsidRDefault="00615CD8" w:rsidP="00615CD8">
      <w:pPr>
        <w:pStyle w:val="Heading3"/>
        <w:spacing w:before="3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lastRenderedPageBreak/>
        <w:t>非应计与 PIK 水平</w:t>
      </w:r>
    </w:p>
    <w:p w14:paraId="643FFE54" w14:textId="77777777" w:rsidR="00615CD8" w:rsidRPr="00312B84" w:rsidRDefault="00615CD8" w:rsidP="00615CD8">
      <w:pPr>
        <w:spacing w:before="140" w:after="10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A667A2B" wp14:editId="615D24DC">
            <wp:extent cx="6244826" cy="3155987"/>
            <wp:effectExtent l="0" t="0" r="0" b="0"/>
            <wp:docPr id="18503746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01736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917" cy="317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C2CC" w14:textId="77777777" w:rsidR="00615CD8" w:rsidRPr="00312B84" w:rsidRDefault="00615CD8" w:rsidP="00615CD8">
      <w:pPr>
        <w:spacing w:after="18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行业平均在 2026 年 3 月达到成本口径 2.8%，五年最高；九年序列给这个数字提供了有用的透视：它远低于约 4.5% 的 COVID 峰值，与 2017–18 年 2.0–2.9% 的常态区间大体一致 —— 即水平是向 2020 年前常态的回归，而非危机区间。真正新的是分布的形状。右轴序列 —— 非应计率超过 8% 的 BDC 占比 —— 单季从约 8% 跳升至 11%，为 COVID 冲击以来最陡的变动，而平均值仅上升 0.35pp。恶化因此集中在不断加宽的尾部，而非整体位移 —— 这与本季点名信用的模式一致：仅 Medallia 一家就占全行业成本口径非应计新增的约四分之一。对 OTF 而言，相关问题是它站在这个分裂的哪一侧。以成本口径 0.6%、公允值口径 0.1% 计，它仍比平均值低一个数量级 —— 因此行业图表当前说明的是 OTF 的风险溢价，而非其已实现信用。</w:t>
      </w:r>
    </w:p>
    <w:p w14:paraId="3299BD43" w14:textId="77777777" w:rsidR="00615CD8" w:rsidRPr="00312B84" w:rsidRDefault="00615CD8" w:rsidP="00615CD8">
      <w:pPr>
        <w:spacing w:before="140" w:after="10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9262E61" wp14:editId="78CE298F">
            <wp:extent cx="6504940" cy="3274725"/>
            <wp:effectExtent l="0" t="0" r="0" b="0"/>
            <wp:docPr id="11117629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54719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32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932C" w14:textId="77777777" w:rsidR="00615CD8" w:rsidRPr="00312B84" w:rsidRDefault="00615CD8" w:rsidP="00615CD8">
      <w:pPr>
        <w:spacing w:after="18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按投资收益口径 PIK 看似静止：1Q26 为 6.4%，环比 +0.4pp，连续十三个季度处于 5.8%–6.8% 区间。信息不在均值里。右轴线 —— PIK 超过投资收益 12% 的 BDC 占比 —— 从 6.5% 升至 8%，为 Q4'24 10% 峰值以来最高，尾部再次先于中位数移动。正是这一区别使 PIK 成为分化指标而非水平指标：约 6% 的行业均值与一批两倍于此的载体并存，且约五分之一的 PIK 贷款估值已低于 90，为后疫情新高。OTF 结构性地处于该分布的上半区 —— 占投资收益 12.5%，约为均值两倍 —— 但有两点使其与尾部名字区分开：约 98% 为原始承保时约定而非修订授予；其坏 PIK 读数 0.98%，约为行业 1.83% 的一半。方向也有利：OTF 已连续两个季度下降，而高 PIK 群体在扩大。</w:t>
      </w:r>
    </w:p>
    <w:p w14:paraId="1760E50A" w14:textId="77777777" w:rsidR="00615CD8" w:rsidRPr="00312B84" w:rsidRDefault="00615CD8" w:rsidP="00615CD8">
      <w:pPr>
        <w:spacing w:before="140" w:after="10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181D497D" wp14:editId="369901AC">
            <wp:extent cx="6504940" cy="3433693"/>
            <wp:effectExtent l="0" t="0" r="0" b="0"/>
            <wp:docPr id="7168619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16729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343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733E" w14:textId="77777777" w:rsidR="00615CD8" w:rsidRPr="00312B84" w:rsidRDefault="00615CD8" w:rsidP="00615CD8">
      <w:pPr>
        <w:spacing w:after="18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以净投资收益衡量，同样的 PIK 美元显得重得多 —— 1Q26 为 15.2%，对总收益口径的 6.4% —— 因为 NII 是扣除利息与管理费用后的口径，比率被放大。对派息载体而言这是更具决策意义的切法：它说明行业可分配盈利中约每七美元就有一美元是应计而非实收。此处趋势明确向上（总收益口径持平）：从 Q1'23 的 12.4% 升约 2.8pp 至 15.2%，1Q26 为序列第二高，仅比 Q4'25 高点低 0.4pp。本图与上图的背离才是真正的发现：PIK 占总收益的比例没有增长，但占净收益的比例在增长 —— 因为融资成本上升缩小了分母。这是全行业分红质量的静默侵蚀，同样的算术使 OTF 的 $0.35 基础分红在报告 PIK 连续两季下降的情况下，GAAP NII 覆盖率仍只有 86%。</w:t>
      </w:r>
    </w:p>
    <w:p w14:paraId="4C34FDB8" w14:textId="77777777" w:rsidR="00615CD8" w:rsidRPr="00312B84" w:rsidRDefault="00615CD8" w:rsidP="00615CD8">
      <w:pPr>
        <w:spacing w:before="140" w:after="10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6E20558" wp14:editId="47F3BCFC">
            <wp:extent cx="6504940" cy="3490921"/>
            <wp:effectExtent l="0" t="0" r="0" b="0"/>
            <wp:docPr id="83039965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57151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349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60C6" w14:textId="77777777" w:rsidR="00615CD8" w:rsidRPr="00312B84" w:rsidRDefault="00615CD8" w:rsidP="00615CD8">
      <w:pPr>
        <w:spacing w:after="18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行业分解解释了总量恶化来自哪里，以及它为何对 OTF 的意义大于 OTF 自身 0.6% 的读数。信息技术的非应计率相对其三年均值翻了三倍，从 0.7% 到 2.1%；医疗翻倍至 3.5% —— 现为所有行业最高 —— 而金融服务与能源反而改善至 0.5% 与 0.1%。IT 同时录得最差的平均季度减记 −2.7%，以及最高的低于 90 的 PIK 贷款占比 8.4%（三年均值 3.7%）—— 估值、PIK 压力与非应计三者指向同样的两个行业。这两个行业正是 OTF 的账簿：系统与应用软件占公允值 32.8%，医疗科技另占 12.4%，医疗服务提供商 2.9% —— 约 48% 的组合坐落在驱动行业信用迁移的两个终端市场里。这是需要盯住的传导渠道，并且它先通过估值与利差、远早于非应计起作用：行业层面的软件与医疗压力会重定价 OTF 的 Level-3 估值及其股票折价 —— 无论其自身借款人是否欠付。</w:t>
      </w:r>
    </w:p>
    <w:p w14:paraId="6EB36A45" w14:textId="3BBD404E" w:rsidR="00813CB8" w:rsidRPr="00071AE0" w:rsidRDefault="002B4BED">
      <w:pPr>
        <w:pStyle w:val="Heading2"/>
        <w:spacing w:before="560" w:after="140"/>
        <w:rPr>
          <w:rFonts w:hint="eastAsia"/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lastRenderedPageBreak/>
        <w:t xml:space="preserve">3.4 </w:t>
      </w:r>
      <w:r w:rsidR="00071AE0">
        <w:rPr>
          <w:rFonts w:hint="eastAsia"/>
          <w:color w:val="001F5F"/>
          <w:sz w:val="32"/>
          <w:szCs w:val="32"/>
        </w:rPr>
        <w:t>Things we should know</w:t>
      </w:r>
    </w:p>
    <w:p w14:paraId="6EB36A46" w14:textId="77777777" w:rsidR="00813CB8" w:rsidRPr="00312B84" w:rsidRDefault="002B4BED">
      <w:pPr>
        <w:pStyle w:val="Heading3"/>
        <w:spacing w:before="200" w:after="100"/>
        <w:ind w:left="110"/>
        <w:rPr>
          <w:sz w:val="21"/>
          <w:szCs w:val="21"/>
        </w:rPr>
      </w:pPr>
      <w:r>
        <w:rPr>
          <w:rFonts w:eastAsia="Calibri Light"/>
          <w:color w:val="001F5F"/>
        </w:rPr>
        <w:t>3.4.1 杠杆信贷中的软件敞口</w:t>
      </w:r>
    </w:p>
    <w:p w14:paraId="6EB36A47" w14:textId="4BD14DED" w:rsidR="00813CB8" w:rsidRPr="00312B84" w:rsidRDefault="002B4BED">
      <w:pPr>
        <w:spacing w:after="120"/>
        <w:ind w:left="2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软件现已是两个杠杆信贷市场中最大的单一行业 —— 占美元贷款指数超 15%、直贷基准 23%，其中 70% 以上有 PE 发起人背书 —— 且正作为一个整体被重定价：美元软件贷款价格年初至今下跌 9 点，超过 60% 的 BDC 软件贷款自 3Q25 以来估值下调超过 1 点。Goldman 的传导路径依次是：2028 年前到期的 $98bn 美元软件贷款的再融资让步 → 对已有 50% 评级 B− 或更低的群体的评级下调 → 违约（其回收率历史上与整体第一留置权一致而非坍塌）。映射到 OTF，传导超过一比一：GICS 口径软件占 32.8%、科技相关公允值约 50%（同业平均 22%），行业层面的软件利差走阔会先于其任何借款人欠付而移动 OTF 的估值 —— 以及它的股票折价。</w:t>
      </w:r>
    </w:p>
    <w:p w14:paraId="6EB36A48" w14:textId="77777777" w:rsidR="00813CB8" w:rsidRPr="00312B84" w:rsidRDefault="002B4BED">
      <w:pPr>
        <w:pStyle w:val="Heading1"/>
        <w:spacing w:before="620" w:after="16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40"/>
          <w:szCs w:val="40"/>
        </w:rPr>
        <w:t>4. 软件行业：按 AI 影响划分</w:t>
      </w:r>
    </w:p>
    <w:p w14:paraId="6EB36A49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4.1 券商与公司观点汇总</w:t>
      </w:r>
    </w:p>
    <w:p w14:paraId="6EB36A4A" w14:textId="77777777" w:rsidR="00813CB8" w:rsidRPr="00312B84" w:rsidRDefault="002B4BED">
      <w:pPr>
        <w:spacing w:before="160" w:after="80"/>
        <w:ind w:left="20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18"/>
          <w:szCs w:val="18"/>
        </w:rPr>
        <w:t>券商观点</w:t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"/>
        <w:gridCol w:w="3073"/>
        <w:gridCol w:w="3073"/>
        <w:gridCol w:w="3073"/>
      </w:tblGrid>
      <w:tr w:rsidR="00813CB8" w:rsidRPr="00312B84" w14:paraId="6EB36A4F" w14:textId="77777777">
        <w:trPr>
          <w:cantSplit/>
          <w:tblHeader/>
        </w:trPr>
        <w:tc>
          <w:tcPr>
            <w:tcW w:w="1025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4B" w14:textId="77777777" w:rsidR="00813CB8" w:rsidRPr="00312B84" w:rsidRDefault="00813CB8">
            <w:pPr>
              <w:spacing w:after="40"/>
              <w:rPr>
                <w:sz w:val="16"/>
                <w:szCs w:val="16"/>
              </w:rPr>
            </w:pPr>
          </w:p>
        </w:tc>
        <w:tc>
          <w:tcPr>
            <w:tcW w:w="3073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4C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UBS</w:t>
            </w:r>
          </w:p>
        </w:tc>
        <w:tc>
          <w:tcPr>
            <w:tcW w:w="3073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4D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Goldman Sachs</w:t>
            </w:r>
          </w:p>
        </w:tc>
        <w:tc>
          <w:tcPr>
            <w:tcW w:w="3073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4E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BofA</w:t>
            </w:r>
          </w:p>
        </w:tc>
      </w:tr>
      <w:tr w:rsidR="00813CB8" w:rsidRPr="00312B84" w14:paraId="6EB36A5D" w14:textId="77777777">
        <w:trPr>
          <w:cantSplit/>
        </w:trPr>
        <w:tc>
          <w:tcPr>
            <w:tcW w:w="1025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5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要点</w:t>
            </w:r>
          </w:p>
        </w:tc>
        <w:tc>
          <w:tcPr>
            <w:tcW w:w="30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5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应用软件仍是 AI 预算的资金来源方而非受益方 —— 许可证合理化、整合与 3–5% 的提价上限对成熟的按席位应用打击最重；但深度嵌入的应用在缺乏替代品时能抵御削减</w:t>
            </w:r>
          </w:p>
          <w:p w14:paraId="6EB36A5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代币成本优化在抑制增速而非削减支出：按员工设上限与模型路由是上升曲线上的护栏，降档也只在前沿实验室之间发生</w:t>
            </w:r>
          </w:p>
          <w:p w14:paraId="6EB36A5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席位+用量的转型对应用软件将很混乱 —— 买方抗拒重复付费且无法预测用量，销售周期拉长；坚守按用户定价的厂商最先受伤</w:t>
            </w:r>
          </w:p>
          <w:p w14:paraId="6EB36A5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模型之上的代币编排层正成为新价值池；AI 加持的 DIY 自建对细分应用与 IT 服务构成竞争威胁 —— 这是最常被提及的预算挤出项</w:t>
            </w:r>
          </w:p>
        </w:tc>
        <w:tc>
          <w:tcPr>
            <w:tcW w:w="30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5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价值归于支撑跨 SaaS 孤岛定制 agentic 应用的数据与平台层 —— 到 2030 年带来 20% 的软件 TAM 增量；组织复杂度决定定制与打包的分界线</w:t>
            </w:r>
          </w:p>
          <w:p w14:paraId="6EB36A5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AI 侵蚀『坏粘性』护城河：仅靠迁移成本维系的公司随着 AI 降低迁移成本本身而暴露；持久护城河需要加速创新与开放生态</w:t>
            </w:r>
          </w:p>
          <w:p w14:paraId="6EB36A5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前台变现转向用量 —— 按对话、按解决计费 —— 客服 TAM 随利润池向 agent 转移而向下拐点；营销软件相对有韧性</w:t>
            </w:r>
          </w:p>
          <w:p w14:paraId="6EB36A5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记录系统只捕获约 5% 的交易相关信息；争夺的价值在非结构化数据之上的上下文层与智能行动层，headless 界面放大上游数据所有者</w:t>
            </w:r>
          </w:p>
        </w:tc>
        <w:tc>
          <w:tcPr>
            <w:tcW w:w="30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5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AI 已成为通过混合定价交付的变现事件 —— 25 场会议纪要中管理层基调一致积极，赢家输家明确</w:t>
            </w:r>
          </w:p>
          <w:p w14:paraId="6EB36A5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基础设施获得重估：同业组目标倍数从 5.0x 上调至 5.8x EV/CY27E 收入，因消费型模式直接承接 AI 工作负载</w:t>
            </w:r>
          </w:p>
          <w:p w14:paraId="6EB36A5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可防御的应用形态是 LLM 之上的协调、上下文与治理层 —— 持久上下文加权限体系才是护城河，而非界面</w:t>
            </w:r>
          </w:p>
          <w:p w14:paraId="6EB36A5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前台在位者宣称 AI 通过 60–80% 溢价 SKU 提升与消费额度实现席位净扩张，同时承认 agentic 层本身可能同质化</w:t>
            </w:r>
          </w:p>
        </w:tc>
      </w:tr>
      <w:tr w:rsidR="00813CB8" w:rsidRPr="00312B84" w14:paraId="6EB36A62" w14:textId="77777777">
        <w:trPr>
          <w:cantSplit/>
        </w:trPr>
        <w:tc>
          <w:tcPr>
            <w:tcW w:w="1025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5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环比变化</w:t>
            </w:r>
          </w:p>
        </w:tc>
        <w:tc>
          <w:tcPr>
            <w:tcW w:w="30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5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无变化 —— 框架不变，对应用软件谨慎；采购渠道强化既有观点</w:t>
            </w:r>
          </w:p>
        </w:tc>
        <w:tc>
          <w:tcPr>
            <w:tcW w:w="30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6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对 agentic 应用边际转多 —— 在客户体验软件新发 Buy 评级，逻辑是份额向现代技术栈转移</w:t>
            </w:r>
          </w:p>
        </w:tc>
        <w:tc>
          <w:tcPr>
            <w:tcW w:w="30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6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更积极 —— 上调基础设施估值倍数，数据层目标价全面上调</w:t>
            </w:r>
          </w:p>
        </w:tc>
      </w:tr>
    </w:tbl>
    <w:p w14:paraId="6EB36A63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各列对应本季收到的研究 —— 三家机构五份报告，2026 年 6–7 月；同机构报告合并。资料来源：存档券商报告</w:t>
      </w:r>
    </w:p>
    <w:p w14:paraId="6EB36A64" w14:textId="77777777" w:rsidR="00813CB8" w:rsidRPr="00312B84" w:rsidRDefault="002B4BED">
      <w:pPr>
        <w:spacing w:before="160" w:after="80"/>
        <w:ind w:left="20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18"/>
          <w:szCs w:val="18"/>
        </w:rPr>
        <w:t>公司观点</w:t>
      </w: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4610"/>
        <w:gridCol w:w="4610"/>
      </w:tblGrid>
      <w:tr w:rsidR="00813CB8" w:rsidRPr="00312B84" w14:paraId="6EB36A68" w14:textId="77777777">
        <w:trPr>
          <w:cantSplit/>
          <w:tblHeader/>
        </w:trPr>
        <w:tc>
          <w:tcPr>
            <w:tcW w:w="102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65" w14:textId="77777777" w:rsidR="00813CB8" w:rsidRPr="00312B84" w:rsidRDefault="00813CB8">
            <w:pPr>
              <w:spacing w:after="40"/>
              <w:rPr>
                <w:sz w:val="16"/>
                <w:szCs w:val="16"/>
              </w:rPr>
            </w:pPr>
          </w:p>
        </w:tc>
        <w:tc>
          <w:tcPr>
            <w:tcW w:w="4610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66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MSFT — Microsoft，FY26Q3 电话会 4 月 29 日</w:t>
            </w:r>
          </w:p>
        </w:tc>
        <w:tc>
          <w:tcPr>
            <w:tcW w:w="4610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67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ORCL — Oracle，FY26Q4 电话会 6 月 10 日</w:t>
            </w:r>
          </w:p>
        </w:tc>
      </w:tr>
      <w:tr w:rsidR="00813CB8" w:rsidRPr="00312B84" w14:paraId="6EB36A6C" w14:textId="77777777">
        <w:trPr>
          <w:cantSplit/>
        </w:trPr>
        <w:tc>
          <w:tcPr>
            <w:tcW w:w="1024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69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观点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6A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进攻 —— 正在全部三层同时变现 AI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6B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进攻 —— 全栈 AI 基础设施跑马圈地，应用内嵌 AI</w:t>
            </w:r>
          </w:p>
        </w:tc>
      </w:tr>
      <w:tr w:rsidR="00813CB8" w:rsidRPr="00312B84" w14:paraId="6EB36A76" w14:textId="77777777">
        <w:trPr>
          <w:cantSplit/>
        </w:trPr>
        <w:tc>
          <w:tcPr>
            <w:tcW w:w="1024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6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要点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6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AI 业务 ARR 突破 $37bn，同比 +123%；M365 Copilot 付费席位超 20mm，新增创纪录</w:t>
            </w:r>
          </w:p>
          <w:p w14:paraId="6EB36A6F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所有按用户业务都变为『按用户 + 用量』—— 席位定价被框定为消费权利；GitHub Copilot 6 月 1 日改为按量计费</w:t>
            </w:r>
          </w:p>
          <w:p w14:paraId="6EB36A7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商业 RPO $627bn，同比 +99%；Azure 约 +40% 且产能受限至 2026 年底；CY26 资本开支约 $190bn</w:t>
            </w:r>
          </w:p>
          <w:p w14:paraId="6EB36A7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定价切换的摩擦已可见：Dynamics 365 订单受按席位与席位+用量之间续约犹豫的拖累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7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RPO $638bn，同比 +363%，本季签署 $67bn AI 基础设施合同；GPU 利用率 97.5%</w:t>
            </w:r>
          </w:p>
          <w:p w14:paraId="6EB36A7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FY27 收入指引 +34%（固定汇率）；净资本开支约 $70bn，部分由计划中的 $40bn 融资支持；基础设施 ROIC 指引 20% 高段</w:t>
            </w:r>
          </w:p>
          <w:p w14:paraId="6EB36A7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应用套件推出新定价模型：代币捆绑包已有 33 家早期客户，另有按筛选一名候选人、按一次追加销售计费的结果定价</w:t>
            </w:r>
          </w:p>
          <w:p w14:paraId="6EB36A7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管理层否认『SaaS 末日』—— 两个季度前的决策延迟在关键任务品类已经过去；SaaS 递延收入 +16%</w:t>
            </w:r>
          </w:p>
        </w:tc>
      </w:tr>
    </w:tbl>
    <w:p w14:paraId="6EB36A77" w14:textId="77777777" w:rsidR="00813CB8" w:rsidRPr="00312B84" w:rsidRDefault="00813CB8">
      <w:pPr>
        <w:spacing w:after="120"/>
        <w:rPr>
          <w:sz w:val="18"/>
          <w:szCs w:val="18"/>
        </w:rPr>
      </w:pPr>
    </w:p>
    <w:tbl>
      <w:tblPr>
        <w:tblW w:w="10244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4610"/>
        <w:gridCol w:w="4610"/>
      </w:tblGrid>
      <w:tr w:rsidR="00813CB8" w:rsidRPr="00312B84" w14:paraId="6EB36A7B" w14:textId="77777777">
        <w:trPr>
          <w:cantSplit/>
          <w:tblHeader/>
        </w:trPr>
        <w:tc>
          <w:tcPr>
            <w:tcW w:w="1024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78" w14:textId="77777777" w:rsidR="00813CB8" w:rsidRPr="00312B84" w:rsidRDefault="00813CB8">
            <w:pPr>
              <w:spacing w:after="40"/>
              <w:rPr>
                <w:sz w:val="16"/>
                <w:szCs w:val="16"/>
              </w:rPr>
            </w:pPr>
          </w:p>
        </w:tc>
        <w:tc>
          <w:tcPr>
            <w:tcW w:w="4610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79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CRM — Salesforce，FY27Q1 电话会 5 月 27 日</w:t>
            </w:r>
          </w:p>
        </w:tc>
        <w:tc>
          <w:tcPr>
            <w:tcW w:w="4610" w:type="dxa"/>
            <w:shd w:val="clear" w:color="auto" w:fill="1F3B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7A" w14:textId="77777777" w:rsidR="00813CB8" w:rsidRPr="00312B84" w:rsidRDefault="002B4BED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NOW — ServiceNow，CY26Q1 电话会 4 月 22 日</w:t>
            </w:r>
          </w:p>
        </w:tc>
      </w:tr>
      <w:tr w:rsidR="00813CB8" w:rsidRPr="00312B84" w14:paraId="6EB36A7F" w14:textId="77777777">
        <w:trPr>
          <w:cantSplit/>
        </w:trPr>
        <w:tc>
          <w:tcPr>
            <w:tcW w:w="1024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7C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观点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7D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转向进攻 —— 用量爆发领先于报表收入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7E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进攻 —— 治理与控制塔层率先变现</w:t>
            </w:r>
          </w:p>
        </w:tc>
      </w:tr>
      <w:tr w:rsidR="00813CB8" w:rsidRPr="00312B84" w14:paraId="6EB36A89" w14:textId="77777777">
        <w:trPr>
          <w:cantSplit/>
        </w:trPr>
        <w:tc>
          <w:tcPr>
            <w:tcW w:w="1024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80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303C"/>
                <w:sz w:val="16"/>
                <w:szCs w:val="16"/>
              </w:rPr>
              <w:t>要点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81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Agentforce ARR 突破 $1bn；处理代币 28.6tn，环比 +152%；agentic 工作单元环比 +111%</w:t>
            </w:r>
          </w:p>
          <w:p w14:paraId="6EB36A82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三个杠杆且席位仍在增长：溢价 SKU 订单同比 +60%，前十大交易中七笔新增人类席位，消费弹性额度</w:t>
            </w:r>
          </w:p>
          <w:p w14:paraId="6EB36A83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Headless 360 把一切暴露为 API 与 MCP —— 两个月 4.5mm 次 MCP 调用；管理层承认 headless 定价尚未定型</w:t>
            </w:r>
          </w:p>
          <w:p w14:paraId="6EB36A84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现实校验：收入 +12%（固定汇率），营销、商务与 Tableau 仍疲弱 —— agentic 指标跑在报表增速前面</w:t>
            </w:r>
          </w:p>
        </w:tc>
        <w:tc>
          <w:tcPr>
            <w:tcW w:w="4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36A85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2026 年 AI 承诺目标上调 50% 至 $1.5bn；整个产品组合转为 AI 原生而非旁挂计价</w:t>
            </w:r>
          </w:p>
          <w:p w14:paraId="6EB36A86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50% 的净新增业务已非按席位 —— 代币、连接器及其他资产；席位生产力损失由用量上行抵消</w:t>
            </w:r>
          </w:p>
          <w:p w14:paraId="6EB36A87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差异化被框定为上下文而非模型智商：AI 控制塔交易规模环比翻倍，平台以每年 95bn 工作流训练</w:t>
            </w:r>
          </w:p>
          <w:p w14:paraId="6EB36A88" w14:textId="77777777" w:rsidR="00813CB8" w:rsidRPr="00312B84" w:rsidRDefault="002B4BED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303C"/>
                <w:sz w:val="16"/>
                <w:szCs w:val="16"/>
              </w:rPr>
              <w:t>•  订阅收入 +19%（固定汇率），RPO $27.7bn、+23.5% 固定汇率，续约率 97% —— 核心业务尚未显现 AI 蚕食</w:t>
            </w:r>
          </w:p>
        </w:tc>
      </w:tr>
    </w:tbl>
    <w:p w14:paraId="6EB36A8A" w14:textId="77777777" w:rsidR="00813CB8" w:rsidRPr="00312B84" w:rsidRDefault="002B4BED">
      <w:pPr>
        <w:spacing w:after="200"/>
        <w:ind w:left="200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5A6B7B"/>
          <w:sz w:val="13"/>
          <w:szCs w:val="13"/>
        </w:rPr>
        <w:t>立场标签与要点取自各公司最新一次业绩电话会纪要。资料来源：MSFT、ORCL、CRM、NOW 电话会，2026 年 4–6 月</w:t>
      </w:r>
    </w:p>
    <w:p w14:paraId="6EB36A8B" w14:textId="77777777" w:rsidR="00813CB8" w:rsidRPr="00312B84" w:rsidRDefault="002B4BED">
      <w:pPr>
        <w:spacing w:before="160" w:after="80"/>
        <w:ind w:left="200"/>
        <w:rPr>
          <w:sz w:val="18"/>
          <w:szCs w:val="18"/>
        </w:rPr>
      </w:pPr>
      <w:r>
        <w:rPr>
          <w:rFonts w:eastAsia="Calibri Light"/>
          <w:b/>
          <w:bCs/>
          <w:color w:val="1C3660"/>
          <w:sz w:val="18"/>
          <w:szCs w:val="18"/>
        </w:rPr>
        <w:t>市场共识与关键关注</w:t>
      </w:r>
    </w:p>
    <w:p w14:paraId="14A20B84" w14:textId="77777777" w:rsidR="005A7589" w:rsidRPr="00312B84" w:rsidRDefault="005A7589" w:rsidP="005A7589">
      <w:pPr>
        <w:spacing w:after="120"/>
        <w:ind w:left="20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市场共识</w:t>
      </w:r>
    </w:p>
    <w:p w14:paraId="1DBA3F76" w14:textId="77777777" w:rsidR="005A7589" w:rsidRPr="00312B84" w:rsidRDefault="005A7589" w:rsidP="005A7589">
      <w:pPr>
        <w:pStyle w:val="ListParagraph"/>
        <w:numPr>
          <w:ilvl w:val="0"/>
          <w:numId w:val="2"/>
        </w:numPr>
        <w:spacing w:after="100"/>
        <w:jc w:val="both"/>
        <w:rPr>
          <w:rFonts w:eastAsia="Calibri Light"/>
          <w:color w:val="000000"/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AI 对软件的净影响高度分化，而非整体颠覆 —— 从记录/应用层被抽走的价值归于数据/平台层、编排/智能层与基础设施层；券商与公司在此一致（GS、UBS、BofA；公司电话会）。</w:t>
      </w:r>
    </w:p>
    <w:p w14:paraId="532D03FD" w14:textId="77777777" w:rsidR="005A7589" w:rsidRPr="00312B84" w:rsidRDefault="005A7589" w:rsidP="005A7589">
      <w:pPr>
        <w:pStyle w:val="ListParagraph"/>
        <w:numPr>
          <w:ilvl w:val="0"/>
          <w:numId w:val="2"/>
        </w:numPr>
        <w:spacing w:after="100"/>
        <w:jc w:val="both"/>
        <w:rPr>
          <w:rFonts w:eastAsia="Calibri Light"/>
          <w:color w:val="000000"/>
          <w:sz w:val="18"/>
          <w:szCs w:val="18"/>
        </w:rPr>
      </w:pPr>
      <w:r>
        <w:rPr>
          <w:sz w:val="18"/>
          <w:szCs w:val="18"/>
        </w:rPr>
        <w:t>席位转混合变现（席位</w:t>
      </w:r>
      <w:r>
        <w:rPr>
          <w:sz w:val="18"/>
          <w:szCs w:val="18"/>
        </w:rPr>
        <w:t xml:space="preserve"> + </w:t>
      </w:r>
      <w:r>
        <w:rPr>
          <w:sz w:val="18"/>
          <w:szCs w:val="18"/>
        </w:rPr>
        <w:t>用量</w:t>
      </w:r>
      <w:r>
        <w:rPr>
          <w:sz w:val="18"/>
          <w:szCs w:val="18"/>
        </w:rPr>
        <w:t xml:space="preserve"> / </w:t>
      </w:r>
      <w:r>
        <w:rPr>
          <w:sz w:val="18"/>
          <w:szCs w:val="18"/>
        </w:rPr>
        <w:t>结果定价）是共识路径，在头部平台已占净新增业务约一半；但转型漫长，买方抗拒重复收费（</w:t>
      </w:r>
      <w:r>
        <w:rPr>
          <w:sz w:val="18"/>
          <w:szCs w:val="18"/>
        </w:rPr>
        <w:t>BofA</w:t>
      </w:r>
      <w:r>
        <w:rPr>
          <w:sz w:val="18"/>
          <w:szCs w:val="18"/>
        </w:rPr>
        <w:t>；</w:t>
      </w:r>
      <w:r>
        <w:rPr>
          <w:sz w:val="18"/>
          <w:szCs w:val="18"/>
        </w:rPr>
        <w:t>UBS</w:t>
      </w:r>
      <w:r>
        <w:rPr>
          <w:sz w:val="18"/>
          <w:szCs w:val="18"/>
        </w:rPr>
        <w:t>；公司披露）。</w:t>
      </w:r>
    </w:p>
    <w:p w14:paraId="1DF9A47B" w14:textId="77777777" w:rsidR="005A7589" w:rsidRPr="00312B84" w:rsidRDefault="005A7589" w:rsidP="005A7589">
      <w:pPr>
        <w:pStyle w:val="ListParagraph"/>
        <w:numPr>
          <w:ilvl w:val="0"/>
          <w:numId w:val="2"/>
        </w:numPr>
        <w:spacing w:after="100"/>
        <w:jc w:val="both"/>
        <w:rPr>
          <w:rFonts w:eastAsia="Calibri Light"/>
          <w:color w:val="000000"/>
          <w:sz w:val="18"/>
          <w:szCs w:val="18"/>
        </w:rPr>
      </w:pPr>
      <w:r>
        <w:rPr>
          <w:sz w:val="18"/>
          <w:szCs w:val="18"/>
        </w:rPr>
        <w:t>护城河的检验标准已从『是否有粘性』变为『什么样的粘性』</w:t>
      </w:r>
      <w:r>
        <w:rPr>
          <w:sz w:val="18"/>
          <w:szCs w:val="18"/>
        </w:rPr>
        <w:t xml:space="preserve">—— </w:t>
      </w:r>
      <w:r>
        <w:rPr>
          <w:sz w:val="18"/>
          <w:szCs w:val="18"/>
        </w:rPr>
        <w:t>数据资产、工作流深度与上下文层是持久的；仅靠转换成本维系的记录型前台软件最脆弱（</w:t>
      </w:r>
      <w:r>
        <w:rPr>
          <w:sz w:val="18"/>
          <w:szCs w:val="18"/>
        </w:rPr>
        <w:t>GS</w:t>
      </w:r>
      <w:r>
        <w:rPr>
          <w:sz w:val="18"/>
          <w:szCs w:val="18"/>
        </w:rPr>
        <w:t>）。</w:t>
      </w:r>
    </w:p>
    <w:p w14:paraId="6A8C1B5B" w14:textId="77777777" w:rsidR="005A7589" w:rsidRPr="00312B84" w:rsidRDefault="005A7589" w:rsidP="005A7589">
      <w:pPr>
        <w:pStyle w:val="ListParagraph"/>
        <w:numPr>
          <w:ilvl w:val="0"/>
          <w:numId w:val="2"/>
        </w:numPr>
        <w:spacing w:after="100"/>
        <w:jc w:val="both"/>
        <w:rPr>
          <w:rFonts w:eastAsia="Calibri Light"/>
          <w:color w:val="000000"/>
          <w:sz w:val="18"/>
          <w:szCs w:val="18"/>
        </w:rPr>
      </w:pPr>
      <w:r>
        <w:rPr>
          <w:sz w:val="18"/>
          <w:szCs w:val="18"/>
        </w:rPr>
        <w:t>基础设施与安全软件是最直接的</w:t>
      </w:r>
      <w:r>
        <w:rPr>
          <w:sz w:val="18"/>
          <w:szCs w:val="18"/>
        </w:rPr>
        <w:t xml:space="preserve"> AI </w:t>
      </w:r>
      <w:r>
        <w:rPr>
          <w:sz w:val="18"/>
          <w:szCs w:val="18"/>
        </w:rPr>
        <w:t>需求受益者、也最具防御性；应用</w:t>
      </w:r>
      <w:r>
        <w:rPr>
          <w:sz w:val="18"/>
          <w:szCs w:val="18"/>
        </w:rPr>
        <w:t>/</w:t>
      </w:r>
      <w:r>
        <w:rPr>
          <w:sz w:val="18"/>
          <w:szCs w:val="18"/>
        </w:rPr>
        <w:t>记录层承受最重压力（</w:t>
      </w:r>
      <w:r>
        <w:rPr>
          <w:sz w:val="18"/>
          <w:szCs w:val="18"/>
        </w:rPr>
        <w:t>UBS</w:t>
      </w:r>
      <w:r>
        <w:rPr>
          <w:sz w:val="18"/>
          <w:szCs w:val="18"/>
        </w:rPr>
        <w:t>；</w:t>
      </w:r>
      <w:r>
        <w:rPr>
          <w:sz w:val="18"/>
          <w:szCs w:val="18"/>
        </w:rPr>
        <w:t>BofA</w:t>
      </w:r>
      <w:r>
        <w:rPr>
          <w:sz w:val="18"/>
          <w:szCs w:val="18"/>
        </w:rPr>
        <w:t>）。</w:t>
      </w:r>
    </w:p>
    <w:p w14:paraId="6EB36A8D" w14:textId="18C0B431" w:rsidR="00813CB8" w:rsidRPr="00312B84" w:rsidRDefault="005A7589" w:rsidP="005A7589">
      <w:pPr>
        <w:pStyle w:val="ListParagraph"/>
        <w:numPr>
          <w:ilvl w:val="0"/>
          <w:numId w:val="2"/>
        </w:numPr>
        <w:spacing w:after="100"/>
        <w:jc w:val="both"/>
        <w:rPr>
          <w:rFonts w:eastAsia="Calibri Light"/>
          <w:color w:val="000000"/>
          <w:sz w:val="18"/>
          <w:szCs w:val="18"/>
        </w:rPr>
      </w:pPr>
      <w:r>
        <w:rPr>
          <w:sz w:val="18"/>
          <w:szCs w:val="18"/>
        </w:rPr>
        <w:t xml:space="preserve">Agentic AI </w:t>
      </w:r>
      <w:r>
        <w:rPr>
          <w:sz w:val="18"/>
          <w:szCs w:val="18"/>
        </w:rPr>
        <w:t>在跨系统协调劳动与</w:t>
      </w:r>
      <w:r>
        <w:rPr>
          <w:sz w:val="18"/>
          <w:szCs w:val="18"/>
        </w:rPr>
        <w:t xml:space="preserve"> agent </w:t>
      </w:r>
      <w:r>
        <w:rPr>
          <w:sz w:val="18"/>
          <w:szCs w:val="18"/>
        </w:rPr>
        <w:t>原生应用中打开增量</w:t>
      </w:r>
      <w:r>
        <w:rPr>
          <w:sz w:val="18"/>
          <w:szCs w:val="18"/>
        </w:rPr>
        <w:t xml:space="preserve"> TAM</w:t>
      </w:r>
      <w:r>
        <w:rPr>
          <w:sz w:val="18"/>
          <w:szCs w:val="18"/>
        </w:rPr>
        <w:t>，而不只是蚕食既有</w:t>
      </w:r>
      <w:r>
        <w:rPr>
          <w:sz w:val="18"/>
          <w:szCs w:val="18"/>
        </w:rPr>
        <w:t xml:space="preserve"> SaaS</w:t>
      </w:r>
      <w:r>
        <w:rPr>
          <w:sz w:val="18"/>
          <w:szCs w:val="18"/>
        </w:rPr>
        <w:t>（</w:t>
      </w:r>
      <w:r>
        <w:rPr>
          <w:sz w:val="18"/>
          <w:szCs w:val="18"/>
        </w:rPr>
        <w:t>GS</w:t>
      </w:r>
      <w:r>
        <w:rPr>
          <w:sz w:val="18"/>
          <w:szCs w:val="18"/>
        </w:rPr>
        <w:t>）。</w:t>
      </w:r>
    </w:p>
    <w:p w14:paraId="0CFF46A1" w14:textId="77777777" w:rsidR="001B7FE8" w:rsidRPr="00312B84" w:rsidRDefault="001B7FE8" w:rsidP="001B7FE8">
      <w:pPr>
        <w:spacing w:after="100"/>
        <w:jc w:val="both"/>
        <w:rPr>
          <w:color w:val="000000"/>
          <w:sz w:val="18"/>
          <w:szCs w:val="18"/>
        </w:rPr>
      </w:pPr>
    </w:p>
    <w:p w14:paraId="6C599397" w14:textId="77777777" w:rsidR="001B7FE8" w:rsidRPr="00312B84" w:rsidRDefault="001B7FE8" w:rsidP="001B7FE8">
      <w:pPr>
        <w:spacing w:after="120"/>
        <w:ind w:left="20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关键关注</w:t>
      </w:r>
      <w:r>
        <w:rPr>
          <w:b/>
          <w:sz w:val="18"/>
          <w:szCs w:val="18"/>
        </w:rPr>
        <w:t xml:space="preserve"> / </w:t>
      </w:r>
      <w:r>
        <w:rPr>
          <w:b/>
          <w:sz w:val="18"/>
          <w:szCs w:val="18"/>
        </w:rPr>
        <w:t>关键分歧</w:t>
      </w:r>
    </w:p>
    <w:tbl>
      <w:tblPr>
        <w:tblW w:w="10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6"/>
        <w:gridCol w:w="2830"/>
        <w:gridCol w:w="2830"/>
        <w:gridCol w:w="2438"/>
      </w:tblGrid>
      <w:tr w:rsidR="001B7FE8" w:rsidRPr="00312B84" w14:paraId="3F59D345" w14:textId="77777777" w:rsidTr="001B7FE8">
        <w:trPr>
          <w:trHeight w:val="312"/>
          <w:tblHeader/>
        </w:trPr>
        <w:tc>
          <w:tcPr>
            <w:tcW w:w="21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00270" w14:textId="77777777" w:rsidR="001B7FE8" w:rsidRPr="00312B84" w:rsidRDefault="001B7FE8">
            <w:pPr>
              <w:rPr>
                <w:sz w:val="16"/>
                <w:szCs w:val="16"/>
              </w:rPr>
            </w:pPr>
            <w:r>
              <w:rPr>
                <w:rFonts w:eastAsia="Calibri"/>
                <w:b/>
                <w:bCs/>
                <w:color w:val="FFFFFF"/>
                <w:sz w:val="16"/>
                <w:szCs w:val="16"/>
              </w:rPr>
              <w:t>分歧</w:t>
            </w:r>
          </w:p>
        </w:tc>
        <w:tc>
          <w:tcPr>
            <w:tcW w:w="28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A62D3" w14:textId="77777777" w:rsidR="001B7FE8" w:rsidRPr="00312B84" w:rsidRDefault="001B7FE8">
            <w:pPr>
              <w:rPr>
                <w:sz w:val="16"/>
                <w:szCs w:val="16"/>
              </w:rPr>
            </w:pPr>
            <w:r>
              <w:rPr>
                <w:rFonts w:eastAsia="Calibri"/>
                <w:b/>
                <w:bCs/>
                <w:color w:val="FFFFFF"/>
                <w:sz w:val="16"/>
                <w:szCs w:val="16"/>
              </w:rPr>
              <w:t>券商立场</w:t>
            </w:r>
          </w:p>
        </w:tc>
        <w:tc>
          <w:tcPr>
            <w:tcW w:w="28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DEDDA" w14:textId="77777777" w:rsidR="001B7FE8" w:rsidRPr="00312B84" w:rsidRDefault="001B7FE8">
            <w:pPr>
              <w:rPr>
                <w:sz w:val="16"/>
                <w:szCs w:val="16"/>
              </w:rPr>
            </w:pPr>
            <w:r>
              <w:rPr>
                <w:rFonts w:eastAsia="Calibri"/>
                <w:b/>
                <w:bCs/>
                <w:color w:val="FFFFFF"/>
                <w:sz w:val="16"/>
                <w:szCs w:val="16"/>
              </w:rPr>
              <w:t>软件公司立场</w:t>
            </w:r>
          </w:p>
        </w:tc>
        <w:tc>
          <w:tcPr>
            <w:tcW w:w="24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A9CB0" w14:textId="77777777" w:rsidR="001B7FE8" w:rsidRPr="00312B84" w:rsidRDefault="001B7FE8">
            <w:pPr>
              <w:rPr>
                <w:sz w:val="16"/>
                <w:szCs w:val="16"/>
              </w:rPr>
            </w:pPr>
            <w:r>
              <w:rPr>
                <w:rFonts w:eastAsia="Calibri"/>
                <w:b/>
                <w:bCs/>
                <w:color w:val="FFFFFF"/>
                <w:sz w:val="16"/>
                <w:szCs w:val="16"/>
              </w:rPr>
              <w:t>分歧核心</w:t>
            </w:r>
          </w:p>
        </w:tc>
      </w:tr>
      <w:tr w:rsidR="001B7FE8" w:rsidRPr="00312B84" w14:paraId="3E781820" w14:textId="77777777" w:rsidTr="001B7FE8">
        <w:trPr>
          <w:trHeight w:val="940"/>
        </w:trPr>
        <w:tc>
          <w:tcPr>
            <w:tcW w:w="21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AD4E8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b/>
                <w:bCs/>
                <w:color w:val="000000"/>
                <w:sz w:val="16"/>
                <w:szCs w:val="16"/>
              </w:rPr>
              <w:t>应用层</w:t>
            </w:r>
            <w:r>
              <w:rPr>
                <w:rFonts w:eastAsia="Calibri"/>
                <w:b/>
                <w:bCs/>
                <w:color w:val="000000"/>
                <w:sz w:val="16"/>
                <w:szCs w:val="16"/>
              </w:rPr>
              <w:t xml:space="preserve"> SaaS </w:t>
            </w:r>
            <w:r>
              <w:rPr>
                <w:rFonts w:eastAsia="Calibri"/>
                <w:b/>
                <w:bCs/>
                <w:color w:val="000000"/>
                <w:sz w:val="16"/>
                <w:szCs w:val="16"/>
              </w:rPr>
              <w:t>前景</w:t>
            </w:r>
          </w:p>
        </w:tc>
        <w:tc>
          <w:tcPr>
            <w:tcW w:w="28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6B620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记录型</w:t>
            </w:r>
            <w:r>
              <w:rPr>
                <w:rFonts w:eastAsia="Calibri"/>
                <w:color w:val="000000"/>
                <w:sz w:val="16"/>
                <w:szCs w:val="16"/>
              </w:rPr>
              <w:t xml:space="preserve"> SaaS </w:t>
            </w:r>
            <w:r>
              <w:rPr>
                <w:rFonts w:eastAsia="Calibri"/>
                <w:color w:val="000000"/>
                <w:sz w:val="16"/>
                <w:szCs w:val="16"/>
              </w:rPr>
              <w:t>的价值被抽走；坏粘性正被侵蚀。</w:t>
            </w:r>
          </w:p>
        </w:tc>
        <w:tc>
          <w:tcPr>
            <w:tcW w:w="28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5CE8D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公司自证价值在上升而非下降</w:t>
            </w:r>
            <w:r>
              <w:rPr>
                <w:rFonts w:eastAsia="Calibri"/>
                <w:color w:val="000000"/>
                <w:sz w:val="16"/>
                <w:szCs w:val="16"/>
              </w:rPr>
              <w:t xml:space="preserve"> —— </w:t>
            </w:r>
            <w:r>
              <w:rPr>
                <w:rFonts w:eastAsia="Calibri"/>
                <w:color w:val="000000"/>
                <w:sz w:val="16"/>
                <w:szCs w:val="16"/>
              </w:rPr>
              <w:t>客户在深化既有平台。</w:t>
            </w:r>
          </w:p>
        </w:tc>
        <w:tc>
          <w:tcPr>
            <w:tcW w:w="24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1EAC3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应用层是价值输出方，还是仍能留住价值？</w:t>
            </w:r>
          </w:p>
        </w:tc>
      </w:tr>
      <w:tr w:rsidR="001B7FE8" w:rsidRPr="00312B84" w14:paraId="205AE7CA" w14:textId="77777777" w:rsidTr="001B7FE8">
        <w:trPr>
          <w:trHeight w:val="923"/>
        </w:trPr>
        <w:tc>
          <w:tcPr>
            <w:tcW w:w="21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262F0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b/>
                <w:bCs/>
                <w:color w:val="000000"/>
                <w:sz w:val="16"/>
                <w:szCs w:val="16"/>
              </w:rPr>
              <w:t>自建</w:t>
            </w:r>
            <w:r>
              <w:rPr>
                <w:rFonts w:eastAsia="Calibri"/>
                <w:b/>
                <w:bCs/>
                <w:color w:val="000000"/>
                <w:sz w:val="16"/>
                <w:szCs w:val="16"/>
              </w:rPr>
              <w:t xml:space="preserve"> vs </w:t>
            </w:r>
            <w:r>
              <w:rPr>
                <w:rFonts w:eastAsia="Calibri"/>
                <w:b/>
                <w:bCs/>
                <w:color w:val="000000"/>
                <w:sz w:val="16"/>
                <w:szCs w:val="16"/>
              </w:rPr>
              <w:t>采购（内部替代）</w:t>
            </w:r>
          </w:p>
        </w:tc>
        <w:tc>
          <w:tcPr>
            <w:tcW w:w="28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A4677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AI </w:t>
            </w:r>
            <w:r>
              <w:rPr>
                <w:rFonts w:eastAsia="Calibri"/>
                <w:color w:val="000000"/>
                <w:sz w:val="16"/>
                <w:szCs w:val="16"/>
              </w:rPr>
              <w:t>编码工具压低自建成本；采购部门自建替代应用。</w:t>
            </w:r>
          </w:p>
        </w:tc>
        <w:tc>
          <w:tcPr>
            <w:tcW w:w="28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DFC54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客户在深化既有平台，而非从零自建。</w:t>
            </w:r>
          </w:p>
        </w:tc>
        <w:tc>
          <w:tcPr>
            <w:tcW w:w="24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5E5BA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自建成本坍塌是否真的有利于自建？</w:t>
            </w:r>
          </w:p>
        </w:tc>
      </w:tr>
      <w:tr w:rsidR="001B7FE8" w:rsidRPr="00312B84" w14:paraId="2C0EEE7D" w14:textId="77777777" w:rsidTr="001B7FE8">
        <w:trPr>
          <w:trHeight w:val="643"/>
        </w:trPr>
        <w:tc>
          <w:tcPr>
            <w:tcW w:w="21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AF457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b/>
                <w:bCs/>
                <w:color w:val="000000"/>
                <w:sz w:val="16"/>
                <w:szCs w:val="16"/>
              </w:rPr>
              <w:t>席位</w:t>
            </w:r>
            <w:r>
              <w:rPr>
                <w:rFonts w:eastAsia="Calibri"/>
                <w:b/>
                <w:bCs/>
                <w:color w:val="000000"/>
                <w:sz w:val="16"/>
                <w:szCs w:val="16"/>
              </w:rPr>
              <w:t xml:space="preserve"> + </w:t>
            </w:r>
            <w:r>
              <w:rPr>
                <w:rFonts w:eastAsia="Calibri"/>
                <w:b/>
                <w:bCs/>
                <w:color w:val="000000"/>
                <w:sz w:val="16"/>
                <w:szCs w:val="16"/>
              </w:rPr>
              <w:t>用量定价能否兑现？</w:t>
            </w:r>
          </w:p>
        </w:tc>
        <w:tc>
          <w:tcPr>
            <w:tcW w:w="28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CA425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买方强烈抗拒混合定价，视为重复收费。</w:t>
            </w:r>
          </w:p>
        </w:tc>
        <w:tc>
          <w:tcPr>
            <w:tcW w:w="28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1E08E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已占净新增业务约一半，推进顺利。</w:t>
            </w:r>
          </w:p>
        </w:tc>
        <w:tc>
          <w:tcPr>
            <w:tcW w:w="24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07B82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用量变现的节奏与买方接受度。</w:t>
            </w:r>
          </w:p>
        </w:tc>
      </w:tr>
      <w:tr w:rsidR="001B7FE8" w:rsidRPr="00312B84" w14:paraId="4FC1EFB0" w14:textId="77777777" w:rsidTr="001B7FE8">
        <w:trPr>
          <w:trHeight w:val="660"/>
        </w:trPr>
        <w:tc>
          <w:tcPr>
            <w:tcW w:w="214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FF718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b/>
                <w:bCs/>
                <w:color w:val="000000"/>
                <w:sz w:val="16"/>
                <w:szCs w:val="16"/>
              </w:rPr>
              <w:t>代币用量到收入的时滞</w:t>
            </w:r>
          </w:p>
        </w:tc>
        <w:tc>
          <w:tcPr>
            <w:tcW w:w="28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72AB6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代币支出面临优化</w:t>
            </w:r>
            <w:r>
              <w:rPr>
                <w:rFonts w:eastAsia="Calibri"/>
                <w:color w:val="000000"/>
                <w:sz w:val="16"/>
                <w:szCs w:val="16"/>
              </w:rPr>
              <w:t xml:space="preserve"> —— </w:t>
            </w:r>
            <w:r>
              <w:rPr>
                <w:rFonts w:eastAsia="Calibri"/>
                <w:color w:val="000000"/>
                <w:sz w:val="16"/>
                <w:szCs w:val="16"/>
              </w:rPr>
              <w:t>放缓而非削减。</w:t>
            </w:r>
          </w:p>
        </w:tc>
        <w:tc>
          <w:tcPr>
            <w:tcW w:w="283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E5D89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代币量逐季复利增长；需求顺风。</w:t>
            </w:r>
          </w:p>
        </w:tc>
        <w:tc>
          <w:tcPr>
            <w:tcW w:w="24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72D4E" w14:textId="77777777" w:rsidR="001B7FE8" w:rsidRPr="00312B84" w:rsidRDefault="001B7FE8">
            <w:pPr>
              <w:spacing w:after="40"/>
              <w:rPr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用量增长能否及时转化为收入？</w:t>
            </w:r>
          </w:p>
        </w:tc>
      </w:tr>
    </w:tbl>
    <w:p w14:paraId="5E15116C" w14:textId="77777777" w:rsidR="001B7FE8" w:rsidRPr="00312B84" w:rsidRDefault="001B7FE8" w:rsidP="001B7FE8">
      <w:pPr>
        <w:spacing w:before="20" w:after="140"/>
        <w:rPr>
          <w:sz w:val="36"/>
          <w:szCs w:val="36"/>
        </w:rPr>
      </w:pPr>
      <w:r>
        <w:rPr>
          <w:rFonts w:eastAsia="Calibri"/>
          <w:i/>
          <w:color w:val="595959"/>
          <w:sz w:val="16"/>
          <w:szCs w:val="16"/>
        </w:rPr>
        <w:t>资料来源：</w:t>
      </w:r>
      <w:r>
        <w:rPr>
          <w:rFonts w:eastAsia="Calibri"/>
          <w:i/>
          <w:color w:val="595959"/>
          <w:sz w:val="16"/>
          <w:szCs w:val="16"/>
        </w:rPr>
        <w:t xml:space="preserve">Junson AID </w:t>
      </w:r>
      <w:r>
        <w:rPr>
          <w:rFonts w:eastAsia="Calibri"/>
          <w:i/>
          <w:color w:val="595959"/>
          <w:sz w:val="16"/>
          <w:szCs w:val="16"/>
        </w:rPr>
        <w:t>综合</w:t>
      </w:r>
      <w:r>
        <w:rPr>
          <w:rFonts w:eastAsia="Calibri"/>
          <w:i/>
          <w:color w:val="595959"/>
          <w:sz w:val="16"/>
          <w:szCs w:val="16"/>
        </w:rPr>
        <w:t xml:space="preserve"> GS / UBS / BofA </w:t>
      </w:r>
      <w:r>
        <w:rPr>
          <w:rFonts w:eastAsia="Calibri"/>
          <w:i/>
          <w:color w:val="595959"/>
          <w:sz w:val="16"/>
          <w:szCs w:val="16"/>
        </w:rPr>
        <w:t>研究与</w:t>
      </w:r>
      <w:r>
        <w:rPr>
          <w:rFonts w:eastAsia="Calibri"/>
          <w:i/>
          <w:color w:val="595959"/>
          <w:sz w:val="16"/>
          <w:szCs w:val="16"/>
        </w:rPr>
        <w:t xml:space="preserve"> MSFT / ORCL / CRM / NOW </w:t>
      </w:r>
      <w:r>
        <w:rPr>
          <w:rFonts w:eastAsia="Calibri"/>
          <w:i/>
          <w:color w:val="595959"/>
          <w:sz w:val="16"/>
          <w:szCs w:val="16"/>
        </w:rPr>
        <w:t>公司沟通。</w:t>
      </w:r>
    </w:p>
    <w:p w14:paraId="6E7462F5" w14:textId="77777777" w:rsidR="001B7FE8" w:rsidRPr="00312B84" w:rsidRDefault="001B7FE8" w:rsidP="001B7FE8">
      <w:pPr>
        <w:spacing w:after="100"/>
        <w:jc w:val="both"/>
        <w:rPr>
          <w:color w:val="000000"/>
          <w:sz w:val="18"/>
          <w:szCs w:val="18"/>
        </w:rPr>
      </w:pPr>
    </w:p>
    <w:p w14:paraId="6EB36A8E" w14:textId="2EF92C7F" w:rsidR="00813CB8" w:rsidRPr="00071AE0" w:rsidRDefault="002B4BED">
      <w:pPr>
        <w:pStyle w:val="Heading2"/>
        <w:spacing w:before="560" w:after="140"/>
        <w:rPr>
          <w:rFonts w:hint="eastAsia"/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 xml:space="preserve">4.2 </w:t>
      </w:r>
      <w:r w:rsidR="00071AE0">
        <w:rPr>
          <w:rFonts w:hint="eastAsia"/>
          <w:color w:val="001F5F"/>
          <w:sz w:val="32"/>
          <w:szCs w:val="32"/>
        </w:rPr>
        <w:t>Things we should know</w:t>
      </w:r>
    </w:p>
    <w:p w14:paraId="6EB36A8F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AI 推理首次给 SaaS 毛利率引入真实的可变成本 —— 过渡期的框架是 Rule of 30 而非 40 —— 毛利率持久性与增长一道成为软件信用的承保变量。</w:t>
      </w:r>
    </w:p>
    <w:p w14:paraId="6EB36A90" w14:textId="77777777" w:rsidR="00813CB8" w:rsidRPr="00312B84" w:rsidRDefault="002B4BED">
      <w:pPr>
        <w:pStyle w:val="ListParagraph"/>
        <w:numPr>
          <w:ilvl w:val="0"/>
          <w:numId w:val="2"/>
        </w:numPr>
        <w:spacing w:after="100"/>
        <w:jc w:val="both"/>
        <w:rPr>
          <w:sz w:val="18"/>
          <w:szCs w:val="18"/>
        </w:rPr>
      </w:pPr>
      <w:r>
        <w:rPr>
          <w:rFonts w:eastAsia="Calibri Light"/>
          <w:color w:val="000000"/>
          <w:sz w:val="18"/>
          <w:szCs w:val="18"/>
        </w:rPr>
        <w:t>软件生产者正围绕 agent 重构：头部公司过去一年收入增速比人员快 22%，工程小队向 3–5 人 agentic pod 收缩 —— 对按席位计费的开发者工具是结构性逆风。</w:t>
      </w:r>
    </w:p>
    <w:p w14:paraId="6EB36A91" w14:textId="77777777" w:rsidR="00813CB8" w:rsidRPr="00312B84" w:rsidRDefault="002B4BED">
      <w:pPr>
        <w:pStyle w:val="Heading2"/>
        <w:spacing w:before="560" w:after="140"/>
        <w:rPr>
          <w:sz w:val="18"/>
          <w:szCs w:val="18"/>
        </w:rPr>
      </w:pPr>
      <w:r>
        <w:rPr>
          <w:rFonts w:eastAsia="Calibri Light"/>
          <w:color w:val="001F5F"/>
          <w:sz w:val="32"/>
          <w:szCs w:val="32"/>
        </w:rPr>
        <w:t>4.3 AI 对软件分层的影响</w:t>
      </w:r>
    </w:p>
    <w:p w14:paraId="30622695" w14:textId="77777777" w:rsidR="00DF1B5E" w:rsidRPr="00312B84" w:rsidRDefault="00DF1B5E" w:rsidP="00DF1B5E">
      <w:pPr>
        <w:spacing w:before="60" w:after="4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2E27CF79" wp14:editId="484F2BB9">
            <wp:extent cx="3662606" cy="2895804"/>
            <wp:effectExtent l="0" t="0" r="0" b="0"/>
            <wp:docPr id="279826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77645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606" cy="289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F779" w14:textId="77777777" w:rsidR="00DF1B5E" w:rsidRPr="00312B84" w:rsidRDefault="00DF1B5E" w:rsidP="00DF1B5E">
      <w:pPr>
        <w:spacing w:after="60"/>
        <w:jc w:val="center"/>
        <w:rPr>
          <w:sz w:val="18"/>
          <w:szCs w:val="18"/>
        </w:rPr>
      </w:pPr>
      <w:r>
        <w:rPr>
          <w:rFonts w:eastAsia="Calibri"/>
          <w:b/>
          <w:bCs/>
          <w:color w:val="595959"/>
          <w:sz w:val="11"/>
          <w:szCs w:val="11"/>
        </w:rPr>
        <w:t>图</w:t>
      </w:r>
      <w:r>
        <w:rPr>
          <w:rFonts w:eastAsia="Calibri"/>
          <w:b/>
          <w:bCs/>
          <w:color w:val="595959"/>
          <w:sz w:val="11"/>
          <w:szCs w:val="11"/>
        </w:rPr>
        <w:t xml:space="preserve"> 6  </w:t>
      </w:r>
      <w:r>
        <w:rPr>
          <w:rFonts w:eastAsia="Calibri"/>
          <w:i/>
          <w:iCs/>
          <w:color w:val="595959"/>
          <w:sz w:val="11"/>
          <w:szCs w:val="11"/>
        </w:rPr>
        <w:t xml:space="preserve">AI </w:t>
      </w:r>
      <w:r>
        <w:rPr>
          <w:rFonts w:eastAsia="Calibri"/>
          <w:i/>
          <w:iCs/>
          <w:color w:val="595959"/>
          <w:sz w:val="11"/>
          <w:szCs w:val="11"/>
        </w:rPr>
        <w:t>下的软件栈</w:t>
      </w:r>
      <w:r>
        <w:rPr>
          <w:rFonts w:eastAsia="Calibri"/>
          <w:i/>
          <w:iCs/>
          <w:color w:val="595959"/>
          <w:sz w:val="11"/>
          <w:szCs w:val="11"/>
        </w:rPr>
        <w:t xml:space="preserve"> —— </w:t>
      </w:r>
      <w:r>
        <w:rPr>
          <w:rFonts w:eastAsia="Calibri"/>
          <w:i/>
          <w:iCs/>
          <w:color w:val="595959"/>
          <w:sz w:val="11"/>
          <w:szCs w:val="11"/>
        </w:rPr>
        <w:t>综合</w:t>
      </w:r>
      <w:r>
        <w:rPr>
          <w:rFonts w:eastAsia="Calibri"/>
          <w:i/>
          <w:iCs/>
          <w:color w:val="595959"/>
          <w:sz w:val="11"/>
          <w:szCs w:val="11"/>
        </w:rPr>
        <w:t xml:space="preserve"> GS / UBS / BofA </w:t>
      </w:r>
      <w:r>
        <w:rPr>
          <w:rFonts w:eastAsia="Calibri"/>
          <w:i/>
          <w:iCs/>
          <w:color w:val="595959"/>
          <w:sz w:val="11"/>
          <w:szCs w:val="11"/>
        </w:rPr>
        <w:t>框架的层级分类。</w:t>
      </w:r>
    </w:p>
    <w:p w14:paraId="7C18B286" w14:textId="77777777" w:rsidR="00DF1B5E" w:rsidRPr="00312B84" w:rsidRDefault="00DF1B5E" w:rsidP="00DF1B5E">
      <w:pPr>
        <w:spacing w:before="20" w:after="140"/>
        <w:jc w:val="center"/>
        <w:rPr>
          <w:sz w:val="18"/>
          <w:szCs w:val="18"/>
        </w:rPr>
      </w:pPr>
      <w:r>
        <w:rPr>
          <w:rFonts w:eastAsia="Calibri"/>
          <w:i/>
          <w:iCs/>
          <w:color w:val="595959"/>
          <w:sz w:val="11"/>
          <w:szCs w:val="11"/>
        </w:rPr>
        <w:t>资料来源：</w:t>
      </w:r>
      <w:r>
        <w:rPr>
          <w:rFonts w:eastAsia="Calibri"/>
          <w:i/>
          <w:iCs/>
          <w:color w:val="595959"/>
          <w:sz w:val="11"/>
          <w:szCs w:val="11"/>
        </w:rPr>
        <w:t>GS</w:t>
      </w:r>
      <w:r>
        <w:rPr>
          <w:rFonts w:eastAsia="Calibri"/>
          <w:i/>
          <w:iCs/>
          <w:color w:val="595959"/>
          <w:sz w:val="11"/>
          <w:szCs w:val="11"/>
        </w:rPr>
        <w:t>、</w:t>
      </w:r>
      <w:r>
        <w:rPr>
          <w:rFonts w:eastAsia="Calibri"/>
          <w:i/>
          <w:iCs/>
          <w:color w:val="595959"/>
          <w:sz w:val="11"/>
          <w:szCs w:val="11"/>
        </w:rPr>
        <w:t>UBS</w:t>
      </w:r>
      <w:r>
        <w:rPr>
          <w:rFonts w:eastAsia="Calibri"/>
          <w:i/>
          <w:iCs/>
          <w:color w:val="595959"/>
          <w:sz w:val="11"/>
          <w:szCs w:val="11"/>
        </w:rPr>
        <w:t>、</w:t>
      </w:r>
      <w:r>
        <w:rPr>
          <w:rFonts w:eastAsia="Calibri"/>
          <w:i/>
          <w:iCs/>
          <w:color w:val="595959"/>
          <w:sz w:val="11"/>
          <w:szCs w:val="11"/>
        </w:rPr>
        <w:t xml:space="preserve">BofA </w:t>
      </w:r>
      <w:r>
        <w:rPr>
          <w:rFonts w:eastAsia="Calibri"/>
          <w:i/>
          <w:iCs/>
          <w:color w:val="595959"/>
          <w:sz w:val="11"/>
          <w:szCs w:val="11"/>
        </w:rPr>
        <w:t>软件研究框架；图由</w:t>
      </w:r>
      <w:r>
        <w:rPr>
          <w:rFonts w:eastAsia="Calibri"/>
          <w:i/>
          <w:iCs/>
          <w:color w:val="595959"/>
          <w:sz w:val="11"/>
          <w:szCs w:val="11"/>
        </w:rPr>
        <w:t xml:space="preserve"> Junson AID </w:t>
      </w:r>
      <w:r>
        <w:rPr>
          <w:rFonts w:eastAsia="Calibri"/>
          <w:i/>
          <w:iCs/>
          <w:color w:val="595959"/>
          <w:sz w:val="11"/>
          <w:szCs w:val="11"/>
        </w:rPr>
        <w:t>绘制。</w:t>
      </w:r>
    </w:p>
    <w:p w14:paraId="5A85A927" w14:textId="77777777" w:rsidR="00DF1B5E" w:rsidRPr="00312B84" w:rsidRDefault="00DF1B5E" w:rsidP="00DF1B5E">
      <w:pPr>
        <w:spacing w:after="40"/>
        <w:jc w:val="both"/>
        <w:rPr>
          <w:sz w:val="18"/>
          <w:szCs w:val="18"/>
        </w:rPr>
      </w:pPr>
      <w:r>
        <w:rPr>
          <w:rFonts w:eastAsia="Calibri"/>
          <w:b/>
          <w:bCs/>
          <w:i/>
          <w:iCs/>
          <w:color w:val="000000"/>
          <w:sz w:val="18"/>
          <w:szCs w:val="18"/>
        </w:rPr>
        <w:t>应用层：</w:t>
      </w:r>
      <w:r>
        <w:rPr>
          <w:rFonts w:eastAsia="Calibri"/>
          <w:i/>
          <w:iCs/>
          <w:color w:val="000000"/>
          <w:sz w:val="18"/>
          <w:szCs w:val="18"/>
        </w:rPr>
        <w:t>面向业务用户、以记录与交易为中心的前台软件，承载</w:t>
      </w:r>
      <w:r>
        <w:rPr>
          <w:rFonts w:eastAsia="Calibri"/>
          <w:i/>
          <w:iCs/>
          <w:color w:val="000000"/>
          <w:sz w:val="18"/>
          <w:szCs w:val="18"/>
        </w:rPr>
        <w:t xml:space="preserve"> CRM</w:t>
      </w:r>
      <w:r>
        <w:rPr>
          <w:rFonts w:eastAsia="Calibri"/>
          <w:i/>
          <w:iCs/>
          <w:color w:val="000000"/>
          <w:sz w:val="18"/>
          <w:szCs w:val="18"/>
        </w:rPr>
        <w:t>、营销、客服与</w:t>
      </w:r>
      <w:r>
        <w:rPr>
          <w:rFonts w:eastAsia="Calibri"/>
          <w:i/>
          <w:iCs/>
          <w:color w:val="000000"/>
          <w:sz w:val="18"/>
          <w:szCs w:val="18"/>
        </w:rPr>
        <w:t xml:space="preserve"> CPaaS </w:t>
      </w:r>
      <w:r>
        <w:rPr>
          <w:rFonts w:eastAsia="Calibri"/>
          <w:i/>
          <w:iCs/>
          <w:color w:val="000000"/>
          <w:sz w:val="18"/>
          <w:szCs w:val="18"/>
        </w:rPr>
        <w:t>工作流。</w:t>
      </w:r>
    </w:p>
    <w:p w14:paraId="54B71B5A" w14:textId="77777777" w:rsidR="00DF1B5E" w:rsidRPr="00312B84" w:rsidRDefault="00DF1B5E" w:rsidP="00DF1B5E">
      <w:pPr>
        <w:spacing w:after="40"/>
        <w:jc w:val="both"/>
        <w:rPr>
          <w:sz w:val="18"/>
          <w:szCs w:val="18"/>
        </w:rPr>
      </w:pPr>
      <w:r>
        <w:rPr>
          <w:rFonts w:eastAsia="Calibri"/>
          <w:b/>
          <w:bCs/>
          <w:i/>
          <w:iCs/>
          <w:color w:val="000000"/>
          <w:sz w:val="18"/>
          <w:szCs w:val="18"/>
        </w:rPr>
        <w:t>编排与智能层：</w:t>
      </w:r>
      <w:r>
        <w:rPr>
          <w:rFonts w:eastAsia="Calibri"/>
          <w:i/>
          <w:iCs/>
          <w:color w:val="000000"/>
          <w:sz w:val="18"/>
          <w:szCs w:val="18"/>
        </w:rPr>
        <w:t>应用之上的</w:t>
      </w:r>
      <w:r>
        <w:rPr>
          <w:rFonts w:eastAsia="Calibri"/>
          <w:i/>
          <w:iCs/>
          <w:color w:val="000000"/>
          <w:sz w:val="18"/>
          <w:szCs w:val="18"/>
        </w:rPr>
        <w:t xml:space="preserve"> agent </w:t>
      </w:r>
      <w:r>
        <w:rPr>
          <w:rFonts w:eastAsia="Calibri"/>
          <w:i/>
          <w:iCs/>
          <w:color w:val="000000"/>
          <w:sz w:val="18"/>
          <w:szCs w:val="18"/>
        </w:rPr>
        <w:t>与操作</w:t>
      </w:r>
      <w:r>
        <w:rPr>
          <w:rFonts w:eastAsia="Calibri"/>
          <w:i/>
          <w:iCs/>
          <w:color w:val="000000"/>
          <w:sz w:val="18"/>
          <w:szCs w:val="18"/>
        </w:rPr>
        <w:t>/</w:t>
      </w:r>
      <w:r>
        <w:rPr>
          <w:rFonts w:eastAsia="Calibri"/>
          <w:i/>
          <w:iCs/>
          <w:color w:val="000000"/>
          <w:sz w:val="18"/>
          <w:szCs w:val="18"/>
        </w:rPr>
        <w:t>本体层，负责判断、编排与执行</w:t>
      </w:r>
      <w:r>
        <w:rPr>
          <w:rFonts w:eastAsia="Calibri"/>
          <w:i/>
          <w:iCs/>
          <w:color w:val="000000"/>
          <w:sz w:val="18"/>
          <w:szCs w:val="18"/>
        </w:rPr>
        <w:t xml:space="preserve"> —— </w:t>
      </w:r>
      <w:r>
        <w:rPr>
          <w:rFonts w:eastAsia="Calibri"/>
          <w:i/>
          <w:iCs/>
          <w:color w:val="000000"/>
          <w:sz w:val="18"/>
          <w:szCs w:val="18"/>
        </w:rPr>
        <w:t>把『发生了什么』的记录转化为决策与行动。</w:t>
      </w:r>
    </w:p>
    <w:p w14:paraId="0FA131E7" w14:textId="77777777" w:rsidR="00DF1B5E" w:rsidRPr="00312B84" w:rsidRDefault="00DF1B5E" w:rsidP="00DF1B5E">
      <w:pPr>
        <w:spacing w:after="40"/>
        <w:jc w:val="both"/>
        <w:rPr>
          <w:sz w:val="18"/>
          <w:szCs w:val="18"/>
        </w:rPr>
      </w:pPr>
      <w:r>
        <w:rPr>
          <w:rFonts w:eastAsia="Calibri"/>
          <w:b/>
          <w:bCs/>
          <w:i/>
          <w:iCs/>
          <w:color w:val="000000"/>
          <w:sz w:val="18"/>
          <w:szCs w:val="18"/>
        </w:rPr>
        <w:t>数据与平台层：</w:t>
      </w:r>
      <w:r>
        <w:rPr>
          <w:rFonts w:eastAsia="Calibri"/>
          <w:i/>
          <w:iCs/>
          <w:color w:val="000000"/>
          <w:sz w:val="18"/>
          <w:szCs w:val="18"/>
        </w:rPr>
        <w:t>整合企业数据与统一治理的底座，向上层</w:t>
      </w:r>
      <w:r>
        <w:rPr>
          <w:rFonts w:eastAsia="Calibri"/>
          <w:i/>
          <w:iCs/>
          <w:color w:val="000000"/>
          <w:sz w:val="18"/>
          <w:szCs w:val="18"/>
        </w:rPr>
        <w:t xml:space="preserve"> agent </w:t>
      </w:r>
      <w:r>
        <w:rPr>
          <w:rFonts w:eastAsia="Calibri"/>
          <w:i/>
          <w:iCs/>
          <w:color w:val="000000"/>
          <w:sz w:val="18"/>
          <w:szCs w:val="18"/>
        </w:rPr>
        <w:t>与应用提供数据、模型接入与管控。</w:t>
      </w:r>
    </w:p>
    <w:p w14:paraId="3604151B" w14:textId="77777777" w:rsidR="00DF1B5E" w:rsidRPr="00312B84" w:rsidRDefault="00DF1B5E" w:rsidP="00DF1B5E">
      <w:pPr>
        <w:spacing w:after="100"/>
        <w:jc w:val="both"/>
        <w:rPr>
          <w:sz w:val="18"/>
          <w:szCs w:val="18"/>
        </w:rPr>
      </w:pPr>
      <w:r>
        <w:rPr>
          <w:rFonts w:eastAsia="Calibri"/>
          <w:b/>
          <w:bCs/>
          <w:i/>
          <w:iCs/>
          <w:color w:val="000000"/>
          <w:sz w:val="18"/>
          <w:szCs w:val="18"/>
        </w:rPr>
        <w:t>基础设施层：</w:t>
      </w:r>
      <w:r>
        <w:rPr>
          <w:rFonts w:eastAsia="Calibri"/>
          <w:i/>
          <w:iCs/>
          <w:color w:val="000000"/>
          <w:sz w:val="18"/>
          <w:szCs w:val="18"/>
        </w:rPr>
        <w:t>算力、云与基础模型</w:t>
      </w:r>
      <w:r>
        <w:rPr>
          <w:rFonts w:eastAsia="Calibri"/>
          <w:i/>
          <w:iCs/>
          <w:color w:val="000000"/>
          <w:sz w:val="18"/>
          <w:szCs w:val="18"/>
        </w:rPr>
        <w:t xml:space="preserve"> —— </w:t>
      </w:r>
      <w:r>
        <w:rPr>
          <w:rFonts w:eastAsia="Calibri"/>
          <w:i/>
          <w:iCs/>
          <w:color w:val="000000"/>
          <w:sz w:val="18"/>
          <w:szCs w:val="18"/>
        </w:rPr>
        <w:t>承载</w:t>
      </w:r>
      <w:r>
        <w:rPr>
          <w:rFonts w:eastAsia="Calibri"/>
          <w:i/>
          <w:iCs/>
          <w:color w:val="000000"/>
          <w:sz w:val="18"/>
          <w:szCs w:val="18"/>
        </w:rPr>
        <w:t xml:space="preserve"> AI </w:t>
      </w:r>
      <w:r>
        <w:rPr>
          <w:rFonts w:eastAsia="Calibri"/>
          <w:i/>
          <w:iCs/>
          <w:color w:val="000000"/>
          <w:sz w:val="18"/>
          <w:szCs w:val="18"/>
        </w:rPr>
        <w:t>训练与推理负载的底层供给。</w:t>
      </w:r>
    </w:p>
    <w:p w14:paraId="55AA6A66" w14:textId="77777777" w:rsidR="00DF1B5E" w:rsidRPr="00312B84" w:rsidRDefault="00DF1B5E" w:rsidP="00DF1B5E">
      <w:pPr>
        <w:pStyle w:val="Heading3"/>
        <w:spacing w:before="160" w:after="70"/>
        <w:rPr>
          <w:sz w:val="36"/>
          <w:szCs w:val="36"/>
        </w:rPr>
      </w:pPr>
      <w:r>
        <w:rPr>
          <w:rFonts w:eastAsia="Calibri"/>
          <w:b/>
          <w:color w:val="1F3864"/>
        </w:rPr>
        <w:t xml:space="preserve">AI </w:t>
      </w:r>
      <w:r>
        <w:rPr>
          <w:rFonts w:eastAsia="Calibri"/>
          <w:b/>
          <w:color w:val="1F3864"/>
        </w:rPr>
        <w:t>对各层的影响</w:t>
      </w:r>
    </w:p>
    <w:p w14:paraId="05C0B0BC" w14:textId="77777777" w:rsidR="00DF1B5E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四层框架（基础设施</w:t>
      </w:r>
      <w:r>
        <w:rPr>
          <w:rFonts w:eastAsia="Calibri"/>
          <w:color w:val="000000"/>
          <w:sz w:val="18"/>
          <w:szCs w:val="18"/>
        </w:rPr>
        <w:t xml:space="preserve"> — </w:t>
      </w:r>
      <w:r>
        <w:rPr>
          <w:rFonts w:eastAsia="Calibri"/>
          <w:color w:val="000000"/>
          <w:sz w:val="18"/>
          <w:szCs w:val="18"/>
        </w:rPr>
        <w:t>数据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平台</w:t>
      </w:r>
      <w:r>
        <w:rPr>
          <w:rFonts w:eastAsia="Calibri"/>
          <w:color w:val="000000"/>
          <w:sz w:val="18"/>
          <w:szCs w:val="18"/>
        </w:rPr>
        <w:t xml:space="preserve"> — </w:t>
      </w:r>
      <w:r>
        <w:rPr>
          <w:rFonts w:eastAsia="Calibri"/>
          <w:color w:val="000000"/>
          <w:sz w:val="18"/>
          <w:szCs w:val="18"/>
        </w:rPr>
        <w:t>编排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智能</w:t>
      </w:r>
      <w:r>
        <w:rPr>
          <w:rFonts w:eastAsia="Calibri"/>
          <w:color w:val="000000"/>
          <w:sz w:val="18"/>
          <w:szCs w:val="18"/>
        </w:rPr>
        <w:t xml:space="preserve"> — </w:t>
      </w:r>
      <w:r>
        <w:rPr>
          <w:rFonts w:eastAsia="Calibri"/>
          <w:color w:val="000000"/>
          <w:sz w:val="18"/>
          <w:szCs w:val="18"/>
        </w:rPr>
        <w:t>应用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记录）依然成立，但边界在模糊</w:t>
      </w:r>
      <w:r>
        <w:rPr>
          <w:rFonts w:eastAsia="Calibri"/>
          <w:color w:val="000000"/>
          <w:sz w:val="18"/>
          <w:szCs w:val="18"/>
        </w:rPr>
        <w:t xml:space="preserve"> —— </w:t>
      </w:r>
      <w:r>
        <w:rPr>
          <w:rFonts w:eastAsia="Calibri"/>
          <w:color w:val="000000"/>
          <w:sz w:val="18"/>
          <w:szCs w:val="18"/>
        </w:rPr>
        <w:t>数据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平台层正向上延伸出智能</w:t>
      </w:r>
      <w:r>
        <w:rPr>
          <w:rFonts w:eastAsia="Calibri"/>
          <w:color w:val="000000"/>
          <w:sz w:val="18"/>
          <w:szCs w:val="18"/>
        </w:rPr>
        <w:t xml:space="preserve"> OS </w:t>
      </w:r>
      <w:r>
        <w:rPr>
          <w:rFonts w:eastAsia="Calibri"/>
          <w:color w:val="000000"/>
          <w:sz w:val="18"/>
          <w:szCs w:val="18"/>
        </w:rPr>
        <w:t>与本体层，随着定制化</w:t>
      </w:r>
      <w:r>
        <w:rPr>
          <w:rFonts w:eastAsia="Calibri"/>
          <w:color w:val="000000"/>
          <w:sz w:val="18"/>
          <w:szCs w:val="18"/>
        </w:rPr>
        <w:t xml:space="preserve"> agent </w:t>
      </w:r>
      <w:r>
        <w:rPr>
          <w:rFonts w:eastAsia="Calibri"/>
          <w:color w:val="000000"/>
          <w:sz w:val="18"/>
          <w:szCs w:val="18"/>
        </w:rPr>
        <w:t>应用普及，基础设施与应用的界线也在弱化。</w:t>
      </w:r>
    </w:p>
    <w:p w14:paraId="4C48E26E" w14:textId="77777777" w:rsidR="00DF1B5E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各层持久价值的核心检验已从『是否有粘性』变为『粘性的质量』</w:t>
      </w:r>
      <w:r>
        <w:rPr>
          <w:rFonts w:eastAsia="Calibri"/>
          <w:color w:val="000000"/>
          <w:sz w:val="18"/>
          <w:szCs w:val="18"/>
        </w:rPr>
        <w:t xml:space="preserve">—— </w:t>
      </w:r>
      <w:r>
        <w:rPr>
          <w:rFonts w:eastAsia="Calibri"/>
          <w:color w:val="000000"/>
          <w:sz w:val="18"/>
          <w:szCs w:val="18"/>
        </w:rPr>
        <w:t>建立在持续创新与高频真实使用上的好粘性得以延续；靠转换成本与合同锁定维系的坏粘性正被侵蚀。</w:t>
      </w:r>
    </w:p>
    <w:p w14:paraId="23237067" w14:textId="77777777" w:rsidR="00DF1B5E" w:rsidRPr="00312B84" w:rsidRDefault="00DF1B5E" w:rsidP="00DF1B5E">
      <w:pPr>
        <w:spacing w:before="80" w:after="100"/>
        <w:jc w:val="both"/>
        <w:rPr>
          <w:sz w:val="18"/>
          <w:szCs w:val="18"/>
        </w:rPr>
      </w:pPr>
      <w:r>
        <w:rPr>
          <w:rFonts w:eastAsia="Calibri"/>
          <w:b/>
          <w:bCs/>
          <w:color w:val="000000"/>
          <w:sz w:val="18"/>
          <w:szCs w:val="18"/>
        </w:rPr>
        <w:t>脆弱性排序：应用</w:t>
      </w:r>
      <w:r>
        <w:rPr>
          <w:rFonts w:eastAsia="Calibri"/>
          <w:b/>
          <w:bCs/>
          <w:color w:val="000000"/>
          <w:sz w:val="18"/>
          <w:szCs w:val="18"/>
        </w:rPr>
        <w:t>/</w:t>
      </w:r>
      <w:r>
        <w:rPr>
          <w:rFonts w:eastAsia="Calibri"/>
          <w:b/>
          <w:bCs/>
          <w:color w:val="000000"/>
          <w:sz w:val="18"/>
          <w:szCs w:val="18"/>
        </w:rPr>
        <w:t>记录层</w:t>
      </w:r>
      <w:r>
        <w:rPr>
          <w:rFonts w:eastAsia="Calibri"/>
          <w:b/>
          <w:bCs/>
          <w:color w:val="000000"/>
          <w:sz w:val="18"/>
          <w:szCs w:val="18"/>
        </w:rPr>
        <w:t xml:space="preserve"> &gt; </w:t>
      </w:r>
      <w:r>
        <w:rPr>
          <w:rFonts w:eastAsia="Calibri"/>
          <w:b/>
          <w:bCs/>
          <w:color w:val="000000"/>
          <w:sz w:val="18"/>
          <w:szCs w:val="18"/>
        </w:rPr>
        <w:t>编排</w:t>
      </w:r>
      <w:r>
        <w:rPr>
          <w:rFonts w:eastAsia="Calibri"/>
          <w:b/>
          <w:bCs/>
          <w:color w:val="000000"/>
          <w:sz w:val="18"/>
          <w:szCs w:val="18"/>
        </w:rPr>
        <w:t>/</w:t>
      </w:r>
      <w:r>
        <w:rPr>
          <w:rFonts w:eastAsia="Calibri"/>
          <w:b/>
          <w:bCs/>
          <w:color w:val="000000"/>
          <w:sz w:val="18"/>
          <w:szCs w:val="18"/>
        </w:rPr>
        <w:t>智能层</w:t>
      </w:r>
      <w:r>
        <w:rPr>
          <w:rFonts w:eastAsia="Calibri"/>
          <w:b/>
          <w:bCs/>
          <w:color w:val="000000"/>
          <w:sz w:val="18"/>
          <w:szCs w:val="18"/>
        </w:rPr>
        <w:t xml:space="preserve"> ≈ </w:t>
      </w:r>
      <w:r>
        <w:rPr>
          <w:rFonts w:eastAsia="Calibri"/>
          <w:b/>
          <w:bCs/>
          <w:color w:val="000000"/>
          <w:sz w:val="18"/>
          <w:szCs w:val="18"/>
        </w:rPr>
        <w:t>数据</w:t>
      </w:r>
      <w:r>
        <w:rPr>
          <w:rFonts w:eastAsia="Calibri"/>
          <w:b/>
          <w:bCs/>
          <w:color w:val="000000"/>
          <w:sz w:val="18"/>
          <w:szCs w:val="18"/>
        </w:rPr>
        <w:t>/</w:t>
      </w:r>
      <w:r>
        <w:rPr>
          <w:rFonts w:eastAsia="Calibri"/>
          <w:b/>
          <w:bCs/>
          <w:color w:val="000000"/>
          <w:sz w:val="18"/>
          <w:szCs w:val="18"/>
        </w:rPr>
        <w:t>平台层</w:t>
      </w:r>
      <w:r>
        <w:rPr>
          <w:rFonts w:eastAsia="Calibri"/>
          <w:b/>
          <w:bCs/>
          <w:color w:val="000000"/>
          <w:sz w:val="18"/>
          <w:szCs w:val="18"/>
        </w:rPr>
        <w:t xml:space="preserve"> &gt; </w:t>
      </w:r>
      <w:r>
        <w:rPr>
          <w:rFonts w:eastAsia="Calibri"/>
          <w:b/>
          <w:bCs/>
          <w:color w:val="000000"/>
          <w:sz w:val="18"/>
          <w:szCs w:val="18"/>
        </w:rPr>
        <w:t>基础设施层</w:t>
      </w:r>
    </w:p>
    <w:p w14:paraId="219BDC1D" w14:textId="77777777" w:rsidR="00DF1B5E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应用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记录层最脆弱</w:t>
      </w:r>
      <w:r>
        <w:rPr>
          <w:rFonts w:eastAsia="Calibri"/>
          <w:color w:val="000000"/>
          <w:sz w:val="18"/>
          <w:szCs w:val="18"/>
        </w:rPr>
        <w:t xml:space="preserve"> —— </w:t>
      </w:r>
      <w:r>
        <w:rPr>
          <w:rFonts w:eastAsia="Calibri"/>
          <w:color w:val="000000"/>
          <w:sz w:val="18"/>
          <w:szCs w:val="18"/>
        </w:rPr>
        <w:t>记录系统只捕获约</w:t>
      </w:r>
      <w:r>
        <w:rPr>
          <w:rFonts w:eastAsia="Calibri"/>
          <w:color w:val="000000"/>
          <w:sz w:val="18"/>
          <w:szCs w:val="18"/>
        </w:rPr>
        <w:t xml:space="preserve"> 5% </w:t>
      </w:r>
      <w:r>
        <w:rPr>
          <w:rFonts w:eastAsia="Calibri"/>
          <w:color w:val="000000"/>
          <w:sz w:val="18"/>
          <w:szCs w:val="18"/>
        </w:rPr>
        <w:t>的决策相关信息，约</w:t>
      </w:r>
      <w:r>
        <w:rPr>
          <w:rFonts w:eastAsia="Calibri"/>
          <w:color w:val="000000"/>
          <w:sz w:val="18"/>
          <w:szCs w:val="18"/>
        </w:rPr>
        <w:t xml:space="preserve"> 99% </w:t>
      </w:r>
      <w:r>
        <w:rPr>
          <w:rFonts w:eastAsia="Calibri"/>
          <w:color w:val="000000"/>
          <w:sz w:val="18"/>
          <w:szCs w:val="18"/>
        </w:rPr>
        <w:t>的客户情报从未进入记录系统；价值最容易被上方的智能层抽走，纯靠席位与转换成本的厂商尤甚（</w:t>
      </w:r>
      <w:r>
        <w:rPr>
          <w:rFonts w:eastAsia="Calibri"/>
          <w:color w:val="000000"/>
          <w:sz w:val="18"/>
          <w:szCs w:val="18"/>
        </w:rPr>
        <w:t>GS</w:t>
      </w:r>
      <w:r>
        <w:rPr>
          <w:rFonts w:eastAsia="Calibri"/>
          <w:color w:val="000000"/>
          <w:sz w:val="18"/>
          <w:szCs w:val="18"/>
        </w:rPr>
        <w:t>）。</w:t>
      </w:r>
    </w:p>
    <w:p w14:paraId="7357FCF4" w14:textId="77777777" w:rsidR="00DF1B5E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编排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智能层与数据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平台层居中</w:t>
      </w:r>
      <w:r>
        <w:rPr>
          <w:rFonts w:eastAsia="Calibri"/>
          <w:color w:val="000000"/>
          <w:sz w:val="18"/>
          <w:szCs w:val="18"/>
        </w:rPr>
        <w:t xml:space="preserve"> —— </w:t>
      </w:r>
      <w:r>
        <w:rPr>
          <w:rFonts w:eastAsia="Calibri"/>
          <w:color w:val="000000"/>
          <w:sz w:val="18"/>
          <w:szCs w:val="18"/>
        </w:rPr>
        <w:t>是价值承接方，但暴露于入口竞争与同质化；需要数据资产与治理作为第二道护城河。</w:t>
      </w:r>
    </w:p>
    <w:p w14:paraId="1190143B" w14:textId="77777777" w:rsidR="00DF1B5E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基础设施层最具韧性</w:t>
      </w:r>
      <w:r>
        <w:rPr>
          <w:rFonts w:eastAsia="Calibri"/>
          <w:color w:val="000000"/>
          <w:sz w:val="18"/>
          <w:szCs w:val="18"/>
        </w:rPr>
        <w:t xml:space="preserve"> —— AI </w:t>
      </w:r>
      <w:r>
        <w:rPr>
          <w:rFonts w:eastAsia="Calibri"/>
          <w:color w:val="000000"/>
          <w:sz w:val="18"/>
          <w:szCs w:val="18"/>
        </w:rPr>
        <w:t>负载量直接驱动需求，受预算合理化影响最小，需求由增量使用而非提价驱动。</w:t>
      </w:r>
    </w:p>
    <w:p w14:paraId="5F64CB03" w14:textId="77777777" w:rsidR="00DF1B5E" w:rsidRPr="00312B84" w:rsidRDefault="00DF1B5E" w:rsidP="00DF1B5E">
      <w:pPr>
        <w:spacing w:before="80" w:after="100"/>
        <w:jc w:val="both"/>
        <w:rPr>
          <w:sz w:val="18"/>
          <w:szCs w:val="18"/>
        </w:rPr>
      </w:pPr>
      <w:r>
        <w:rPr>
          <w:rFonts w:eastAsia="Calibri"/>
          <w:b/>
          <w:bCs/>
          <w:color w:val="000000"/>
          <w:sz w:val="18"/>
          <w:szCs w:val="18"/>
        </w:rPr>
        <w:t>边际变化：应用</w:t>
      </w:r>
      <w:r>
        <w:rPr>
          <w:rFonts w:eastAsia="Calibri"/>
          <w:b/>
          <w:bCs/>
          <w:color w:val="000000"/>
          <w:sz w:val="18"/>
          <w:szCs w:val="18"/>
        </w:rPr>
        <w:t>/</w:t>
      </w:r>
      <w:r>
        <w:rPr>
          <w:rFonts w:eastAsia="Calibri"/>
          <w:b/>
          <w:bCs/>
          <w:color w:val="000000"/>
          <w:sz w:val="18"/>
          <w:szCs w:val="18"/>
        </w:rPr>
        <w:t>服务层定价重构最剧烈</w:t>
      </w:r>
      <w:r>
        <w:rPr>
          <w:rFonts w:eastAsia="Calibri"/>
          <w:b/>
          <w:bCs/>
          <w:color w:val="000000"/>
          <w:sz w:val="18"/>
          <w:szCs w:val="18"/>
        </w:rPr>
        <w:t xml:space="preserve"> &gt; </w:t>
      </w:r>
      <w:r>
        <w:rPr>
          <w:rFonts w:eastAsia="Calibri"/>
          <w:b/>
          <w:bCs/>
          <w:color w:val="000000"/>
          <w:sz w:val="18"/>
          <w:szCs w:val="18"/>
        </w:rPr>
        <w:t>基础设施</w:t>
      </w:r>
      <w:r>
        <w:rPr>
          <w:rFonts w:eastAsia="Calibri"/>
          <w:b/>
          <w:bCs/>
          <w:color w:val="000000"/>
          <w:sz w:val="18"/>
          <w:szCs w:val="18"/>
        </w:rPr>
        <w:t>/</w:t>
      </w:r>
      <w:r>
        <w:rPr>
          <w:rFonts w:eastAsia="Calibri"/>
          <w:b/>
          <w:bCs/>
          <w:color w:val="000000"/>
          <w:sz w:val="18"/>
          <w:szCs w:val="18"/>
        </w:rPr>
        <w:t>数据层需求加速</w:t>
      </w:r>
      <w:r>
        <w:rPr>
          <w:rFonts w:eastAsia="Calibri"/>
          <w:b/>
          <w:bCs/>
          <w:color w:val="000000"/>
          <w:sz w:val="18"/>
          <w:szCs w:val="18"/>
        </w:rPr>
        <w:t xml:space="preserve"> &gt; </w:t>
      </w:r>
      <w:r>
        <w:rPr>
          <w:rFonts w:eastAsia="Calibri"/>
          <w:b/>
          <w:bCs/>
          <w:color w:val="000000"/>
          <w:sz w:val="18"/>
          <w:szCs w:val="18"/>
        </w:rPr>
        <w:t>编排层入口打开</w:t>
      </w:r>
    </w:p>
    <w:p w14:paraId="38CD190B" w14:textId="77777777" w:rsidR="00DF1B5E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最剧烈的边际变化是应用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服务层的定价重构</w:t>
      </w:r>
      <w:r>
        <w:rPr>
          <w:rFonts w:eastAsia="Calibri"/>
          <w:color w:val="000000"/>
          <w:sz w:val="18"/>
          <w:szCs w:val="18"/>
        </w:rPr>
        <w:t xml:space="preserve"> —— </w:t>
      </w:r>
      <w:r>
        <w:rPr>
          <w:rFonts w:eastAsia="Calibri"/>
          <w:color w:val="000000"/>
          <w:sz w:val="18"/>
          <w:szCs w:val="18"/>
        </w:rPr>
        <w:t>从纯席位到席位</w:t>
      </w:r>
      <w:r>
        <w:rPr>
          <w:rFonts w:eastAsia="Calibri"/>
          <w:color w:val="000000"/>
          <w:sz w:val="18"/>
          <w:szCs w:val="18"/>
        </w:rPr>
        <w:t>+</w:t>
      </w:r>
      <w:r>
        <w:rPr>
          <w:rFonts w:eastAsia="Calibri"/>
          <w:color w:val="000000"/>
          <w:sz w:val="18"/>
          <w:szCs w:val="18"/>
        </w:rPr>
        <w:t>用量乃至结果定价；转型漫长且摩擦大，只有能交付可量化节省的厂商才能提价，成熟的按席位应用受创最重。</w:t>
      </w:r>
    </w:p>
    <w:p w14:paraId="2F468481" w14:textId="77777777" w:rsidR="00DF1B5E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其次是基础设施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数据层的需求加速</w:t>
      </w:r>
      <w:r>
        <w:rPr>
          <w:rFonts w:eastAsia="Calibri"/>
          <w:color w:val="000000"/>
          <w:sz w:val="18"/>
          <w:szCs w:val="18"/>
        </w:rPr>
        <w:t xml:space="preserve"> —— </w:t>
      </w:r>
      <w:r>
        <w:rPr>
          <w:rFonts w:eastAsia="Calibri"/>
          <w:color w:val="000000"/>
          <w:sz w:val="18"/>
          <w:szCs w:val="18"/>
        </w:rPr>
        <w:t>攻击面扩大拉动安全需求，机器生成代码量拉动数据、治理与可观测性需求，消费定价随负载自然放大。</w:t>
      </w:r>
    </w:p>
    <w:p w14:paraId="3F56039C" w14:textId="77777777" w:rsidR="00DF1B5E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编排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智能层的入口正在打开</w:t>
      </w:r>
      <w:r>
        <w:rPr>
          <w:rFonts w:eastAsia="Calibri"/>
          <w:color w:val="000000"/>
          <w:sz w:val="18"/>
          <w:szCs w:val="18"/>
        </w:rPr>
        <w:t xml:space="preserve"> —— </w:t>
      </w:r>
      <w:r>
        <w:rPr>
          <w:rFonts w:eastAsia="Calibri"/>
          <w:color w:val="000000"/>
          <w:sz w:val="18"/>
          <w:szCs w:val="18"/>
        </w:rPr>
        <w:t>智能</w:t>
      </w:r>
      <w:r>
        <w:rPr>
          <w:rFonts w:eastAsia="Calibri"/>
          <w:color w:val="000000"/>
          <w:sz w:val="18"/>
          <w:szCs w:val="18"/>
        </w:rPr>
        <w:t xml:space="preserve"> OS/</w:t>
      </w:r>
      <w:r>
        <w:rPr>
          <w:rFonts w:eastAsia="Calibri"/>
          <w:color w:val="000000"/>
          <w:sz w:val="18"/>
          <w:szCs w:val="18"/>
        </w:rPr>
        <w:t>本体层、</w:t>
      </w:r>
      <w:r>
        <w:rPr>
          <w:rFonts w:eastAsia="Calibri"/>
          <w:color w:val="000000"/>
          <w:sz w:val="18"/>
          <w:szCs w:val="18"/>
        </w:rPr>
        <w:t xml:space="preserve">headless </w:t>
      </w:r>
      <w:r>
        <w:rPr>
          <w:rFonts w:eastAsia="Calibri"/>
          <w:color w:val="000000"/>
          <w:sz w:val="18"/>
          <w:szCs w:val="18"/>
        </w:rPr>
        <w:t>调用与开放</w:t>
      </w:r>
      <w:r>
        <w:rPr>
          <w:rFonts w:eastAsia="Calibri"/>
          <w:color w:val="000000"/>
          <w:sz w:val="18"/>
          <w:szCs w:val="18"/>
        </w:rPr>
        <w:t xml:space="preserve"> agent </w:t>
      </w:r>
      <w:r>
        <w:rPr>
          <w:rFonts w:eastAsia="Calibri"/>
          <w:color w:val="000000"/>
          <w:sz w:val="18"/>
          <w:szCs w:val="18"/>
        </w:rPr>
        <w:t>协议扩展了智能被消费的界面；率先沉淀专有数据资产者受益。</w:t>
      </w:r>
    </w:p>
    <w:p w14:paraId="61D53ABB" w14:textId="77777777" w:rsidR="00DF1B5E" w:rsidRPr="00312B84" w:rsidRDefault="00DF1B5E" w:rsidP="00DF1B5E">
      <w:pPr>
        <w:spacing w:before="80" w:after="100"/>
        <w:jc w:val="both"/>
        <w:rPr>
          <w:sz w:val="18"/>
          <w:szCs w:val="18"/>
        </w:rPr>
      </w:pPr>
      <w:r>
        <w:rPr>
          <w:rFonts w:eastAsia="Calibri"/>
          <w:b/>
          <w:bCs/>
          <w:color w:val="000000"/>
          <w:sz w:val="18"/>
          <w:szCs w:val="18"/>
        </w:rPr>
        <w:t>核心含义：价值从『记录发生了什么』转向『判断并执行的智能』，沉淀于数据与基础设施</w:t>
      </w:r>
    </w:p>
    <w:p w14:paraId="4C3B0794" w14:textId="77777777" w:rsidR="00DF1B5E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软件价值从记录层迁移至编排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智能层，并进一步下沉至数据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平台层与基础设施层</w:t>
      </w:r>
      <w:r>
        <w:rPr>
          <w:rFonts w:eastAsia="Calibri"/>
          <w:color w:val="000000"/>
          <w:sz w:val="18"/>
          <w:szCs w:val="18"/>
        </w:rPr>
        <w:t xml:space="preserve"> —— </w:t>
      </w:r>
      <w:r>
        <w:rPr>
          <w:rFonts w:eastAsia="Calibri"/>
          <w:color w:val="000000"/>
          <w:sz w:val="18"/>
          <w:szCs w:val="18"/>
        </w:rPr>
        <w:t>应用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记录层是价值输出方，不是承接方。</w:t>
      </w:r>
    </w:p>
    <w:p w14:paraId="0F9E84F9" w14:textId="77777777" w:rsidR="00DF1B5E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受益者：握有底层技术护城河与专有数据资产者</w:t>
      </w:r>
      <w:r>
        <w:rPr>
          <w:rFonts w:eastAsia="Calibri"/>
          <w:color w:val="000000"/>
          <w:sz w:val="18"/>
          <w:szCs w:val="18"/>
        </w:rPr>
        <w:t xml:space="preserve"> —— </w:t>
      </w:r>
      <w:r>
        <w:rPr>
          <w:rFonts w:eastAsia="Calibri"/>
          <w:color w:val="000000"/>
          <w:sz w:val="18"/>
          <w:szCs w:val="18"/>
        </w:rPr>
        <w:t>数据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平台与基础设施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安全层，以及能把非结构化交互沉淀为数据资产并变现</w:t>
      </w:r>
      <w:r>
        <w:rPr>
          <w:rFonts w:eastAsia="Calibri"/>
          <w:color w:val="000000"/>
          <w:sz w:val="18"/>
          <w:szCs w:val="18"/>
        </w:rPr>
        <w:t xml:space="preserve"> headless </w:t>
      </w:r>
      <w:r>
        <w:rPr>
          <w:rFonts w:eastAsia="Calibri"/>
          <w:color w:val="000000"/>
          <w:sz w:val="18"/>
          <w:szCs w:val="18"/>
        </w:rPr>
        <w:t>调用的智能层厂商。</w:t>
      </w:r>
    </w:p>
    <w:p w14:paraId="6EB36A96" w14:textId="30FF70D4" w:rsidR="00813CB8" w:rsidRPr="00312B84" w:rsidRDefault="00DF1B5E" w:rsidP="00DF1B5E">
      <w:pPr>
        <w:pStyle w:val="ListParagraph"/>
        <w:numPr>
          <w:ilvl w:val="0"/>
          <w:numId w:val="3"/>
        </w:numPr>
        <w:spacing w:after="70"/>
        <w:jc w:val="both"/>
        <w:rPr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承压者：仅靠转换成本与席位锁定维系的纯记录型前台</w:t>
      </w:r>
      <w:r>
        <w:rPr>
          <w:rFonts w:eastAsia="Calibri"/>
          <w:color w:val="000000"/>
          <w:sz w:val="18"/>
          <w:szCs w:val="18"/>
        </w:rPr>
        <w:t>/</w:t>
      </w:r>
      <w:r>
        <w:rPr>
          <w:rFonts w:eastAsia="Calibri"/>
          <w:color w:val="000000"/>
          <w:sz w:val="18"/>
          <w:szCs w:val="18"/>
        </w:rPr>
        <w:t>应用软件</w:t>
      </w:r>
      <w:r>
        <w:rPr>
          <w:rFonts w:eastAsia="Calibri"/>
          <w:color w:val="000000"/>
          <w:sz w:val="18"/>
          <w:szCs w:val="18"/>
        </w:rPr>
        <w:t xml:space="preserve"> —— </w:t>
      </w:r>
      <w:r>
        <w:rPr>
          <w:rFonts w:eastAsia="Calibri"/>
          <w:color w:val="000000"/>
          <w:sz w:val="18"/>
          <w:szCs w:val="18"/>
        </w:rPr>
        <w:t>模型智能本身只占价值约</w:t>
      </w:r>
      <w:r>
        <w:rPr>
          <w:rFonts w:eastAsia="Calibri"/>
          <w:color w:val="000000"/>
          <w:sz w:val="18"/>
          <w:szCs w:val="18"/>
        </w:rPr>
        <w:t xml:space="preserve"> 10%</w:t>
      </w:r>
      <w:r>
        <w:rPr>
          <w:rFonts w:eastAsia="Calibri"/>
          <w:color w:val="000000"/>
          <w:sz w:val="18"/>
          <w:szCs w:val="18"/>
        </w:rPr>
        <w:t>；护城河不在模型，而在上下文、工作流、治理与数据。</w:t>
      </w:r>
    </w:p>
    <w:sectPr w:rsidR="00813CB8" w:rsidRPr="00312B84">
      <w:headerReference w:type="default" r:id="rId58"/>
      <w:footerReference w:type="default" r:id="rId59"/>
      <w:pgSz w:w="11906" w:h="16838" w:code="9"/>
      <w:pgMar w:top="1280" w:right="832" w:bottom="600" w:left="830" w:header="44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1FE88" w14:textId="77777777" w:rsidR="00BF642E" w:rsidRDefault="00BF642E">
      <w:r>
        <w:separator/>
      </w:r>
    </w:p>
  </w:endnote>
  <w:endnote w:type="continuationSeparator" w:id="0">
    <w:p w14:paraId="20AB29E8" w14:textId="77777777" w:rsidR="00BF642E" w:rsidRDefault="00BF6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6AC0" w14:textId="77777777" w:rsidR="00813CB8" w:rsidRDefault="002B4BED">
    <w:pPr>
      <w:tabs>
        <w:tab w:val="right" w:pos="10244"/>
      </w:tabs>
    </w:pPr>
    <w:r>
      <w:rPr>
        <w:rFonts w:eastAsia="Calibri Light"/>
        <w:color w:val="9AA6B2"/>
        <w:sz w:val="18"/>
        <w:szCs w:val="18"/>
      </w:rPr>
      <w:t>Fundamental Analysis Report</w:t>
    </w:r>
    <w:r>
      <w:rPr>
        <w:rFonts w:eastAsia="Calibri Light"/>
        <w:color w:val="9AA6B2"/>
        <w:sz w:val="18"/>
        <w:szCs w:val="18"/>
      </w:rPr>
      <w:tab/>
      <w:t>For internal research use only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6AC3" w14:textId="77777777" w:rsidR="00813CB8" w:rsidRDefault="002B4BED">
    <w:pPr>
      <w:tabs>
        <w:tab w:val="right" w:pos="10244"/>
      </w:tabs>
    </w:pPr>
    <w:r>
      <w:rPr>
        <w:rFonts w:eastAsia="Calibri Light"/>
        <w:color w:val="9AA6B2"/>
        <w:sz w:val="18"/>
        <w:szCs w:val="18"/>
      </w:rPr>
      <w:t>Fundamental Analysis Report</w:t>
    </w:r>
    <w:r>
      <w:rPr>
        <w:rFonts w:eastAsia="Calibri Light"/>
        <w:color w:val="9AA6B2"/>
        <w:sz w:val="18"/>
        <w:szCs w:val="18"/>
      </w:rPr>
      <w:tab/>
      <w:t>For internal research use only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6AC5" w14:textId="77777777" w:rsidR="00813CB8" w:rsidRDefault="002B4BED">
    <w:pPr>
      <w:tabs>
        <w:tab w:val="right" w:pos="15176"/>
      </w:tabs>
    </w:pPr>
    <w:r>
      <w:rPr>
        <w:rFonts w:eastAsia="Calibri Light"/>
        <w:color w:val="9AA6B2"/>
        <w:sz w:val="18"/>
        <w:szCs w:val="18"/>
      </w:rPr>
      <w:t>Fundamental Analysis Report</w:t>
    </w:r>
    <w:r>
      <w:rPr>
        <w:rFonts w:eastAsia="Calibri Light"/>
        <w:color w:val="9AA6B2"/>
        <w:sz w:val="18"/>
        <w:szCs w:val="18"/>
      </w:rPr>
      <w:tab/>
      <w:t>For internal research use only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6AC7" w14:textId="77777777" w:rsidR="00813CB8" w:rsidRDefault="002B4BED">
    <w:pPr>
      <w:tabs>
        <w:tab w:val="right" w:pos="10244"/>
      </w:tabs>
    </w:pPr>
    <w:r>
      <w:rPr>
        <w:rFonts w:eastAsia="Calibri Light"/>
        <w:color w:val="9AA6B2"/>
        <w:sz w:val="18"/>
        <w:szCs w:val="18"/>
      </w:rPr>
      <w:t>Fundamental Analysis Report</w:t>
    </w:r>
    <w:r>
      <w:rPr>
        <w:rFonts w:eastAsia="Calibri Light"/>
        <w:color w:val="9AA6B2"/>
        <w:sz w:val="18"/>
        <w:szCs w:val="18"/>
      </w:rPr>
      <w:tab/>
      <w:t>For internal research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29622" w14:textId="77777777" w:rsidR="00BF642E" w:rsidRDefault="00BF642E">
      <w:r>
        <w:separator/>
      </w:r>
    </w:p>
  </w:footnote>
  <w:footnote w:type="continuationSeparator" w:id="0">
    <w:p w14:paraId="080C0A0C" w14:textId="77777777" w:rsidR="00BF642E" w:rsidRDefault="00BF6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6ABF" w14:textId="77777777" w:rsidR="00813CB8" w:rsidRDefault="002B4BED">
    <w:pPr>
      <w:pBdr>
        <w:bottom w:val="single" w:sz="12" w:space="4" w:color="1C3660"/>
      </w:pBdr>
      <w:tabs>
        <w:tab w:val="right" w:pos="10244"/>
      </w:tabs>
    </w:pPr>
    <w:r>
      <w:rPr>
        <w:rFonts w:eastAsia="Calibri Light"/>
        <w:color w:val="1C3660"/>
        <w:sz w:val="30"/>
        <w:szCs w:val="30"/>
      </w:rPr>
      <w:t>JUNSON Capital| Blue Owl Technology Finance Corp.</w:t>
    </w:r>
    <w:r>
      <w:rPr>
        <w:rFonts w:eastAsia="Calibri Light"/>
        <w:color w:val="1C3660"/>
        <w:sz w:val="30"/>
        <w:szCs w:val="30"/>
      </w:rPr>
      <w:tab/>
      <w:t>2026Q3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AB2B9" w14:textId="77777777" w:rsidR="007F182B" w:rsidRDefault="00D83B8A">
    <w:pPr>
      <w:tabs>
        <w:tab w:val="right" w:pos="10244"/>
      </w:tabs>
    </w:pPr>
    <w:r>
      <w:rPr>
        <w:rFonts w:eastAsia="Calibri Light"/>
        <w:color w:val="1C3660"/>
        <w:sz w:val="64"/>
        <w:szCs w:val="64"/>
      </w:rPr>
      <w:t>JUNSON Capital</w:t>
    </w:r>
    <w:r>
      <w:tab/>
    </w:r>
    <w:r>
      <w:rPr>
        <w:noProof/>
      </w:rPr>
      <w:drawing>
        <wp:inline distT="0" distB="0" distL="0" distR="0" wp14:anchorId="6C2FB393" wp14:editId="7D08EFE1">
          <wp:extent cx="1569720" cy="676910"/>
          <wp:effectExtent l="0" t="0" r="0" b="0"/>
          <wp:docPr id="901" name="JUNSON Capita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" name="JUNSON Capital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9720" cy="676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C72EF5" w14:textId="77777777" w:rsidR="007F182B" w:rsidRDefault="00D83B8A">
    <w:pPr>
      <w:spacing w:after="120"/>
    </w:pPr>
    <w:r>
      <w:rPr>
        <w:rFonts w:eastAsia="Calibri Light"/>
        <w:color w:val="179DD7"/>
        <w:sz w:val="64"/>
        <w:szCs w:val="64"/>
      </w:rPr>
      <w:t>Research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6AC4" w14:textId="77777777" w:rsidR="00813CB8" w:rsidRDefault="002B4BED">
    <w:pPr>
      <w:pBdr>
        <w:bottom w:val="single" w:sz="12" w:space="4" w:color="1C3660"/>
      </w:pBdr>
      <w:tabs>
        <w:tab w:val="right" w:pos="15176"/>
      </w:tabs>
    </w:pPr>
    <w:r>
      <w:rPr>
        <w:rFonts w:eastAsia="Calibri Light"/>
        <w:color w:val="1C3660"/>
        <w:sz w:val="30"/>
        <w:szCs w:val="30"/>
      </w:rPr>
      <w:t>JUNSON Capital| Blue Owl Technology Finance Corp.</w:t>
    </w:r>
    <w:r>
      <w:rPr>
        <w:rFonts w:eastAsia="Calibri Light"/>
        <w:color w:val="1C3660"/>
        <w:sz w:val="30"/>
        <w:szCs w:val="30"/>
      </w:rPr>
      <w:tab/>
      <w:t>2026Q3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6AC6" w14:textId="77777777" w:rsidR="00813CB8" w:rsidRDefault="002B4BED">
    <w:pPr>
      <w:pBdr>
        <w:bottom w:val="single" w:sz="12" w:space="4" w:color="1C3660"/>
      </w:pBdr>
      <w:tabs>
        <w:tab w:val="right" w:pos="10244"/>
      </w:tabs>
    </w:pPr>
    <w:r>
      <w:rPr>
        <w:rFonts w:eastAsia="Calibri Light"/>
        <w:color w:val="1C3660"/>
        <w:sz w:val="30"/>
        <w:szCs w:val="30"/>
      </w:rPr>
      <w:t>JUNSON Capital| Blue Owl Technology Finance Corp.</w:t>
    </w:r>
    <w:r>
      <w:rPr>
        <w:rFonts w:eastAsia="Calibri Light"/>
        <w:color w:val="1C3660"/>
        <w:sz w:val="30"/>
        <w:szCs w:val="30"/>
      </w:rPr>
      <w:tab/>
      <w:t>2026Q3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939F1"/>
    <w:multiLevelType w:val="hybridMultilevel"/>
    <w:tmpl w:val="1CC29196"/>
    <w:lvl w:ilvl="0" w:tplc="BE24F348">
      <w:start w:val="1"/>
      <w:numFmt w:val="bullet"/>
      <w:lvlText w:val="•"/>
      <w:lvlJc w:val="left"/>
      <w:pPr>
        <w:ind w:left="560" w:hanging="360"/>
      </w:pPr>
      <w:rPr>
        <w:rFonts w:ascii="Calibri Light" w:eastAsia="Calibri Light" w:hAnsi="Calibri Light" w:cs="Calibri Light"/>
      </w:rPr>
    </w:lvl>
    <w:lvl w:ilvl="1" w:tplc="D0A25C90">
      <w:start w:val="1"/>
      <w:numFmt w:val="bullet"/>
      <w:lvlText w:val="◦"/>
      <w:lvlJc w:val="left"/>
      <w:pPr>
        <w:ind w:left="980" w:hanging="320"/>
      </w:pPr>
      <w:rPr>
        <w:rFonts w:ascii="Calibri Light" w:eastAsia="Calibri Light" w:hAnsi="Calibri Light" w:cs="Calibri Light"/>
      </w:rPr>
    </w:lvl>
    <w:lvl w:ilvl="2" w:tplc="604A8F10">
      <w:numFmt w:val="decimal"/>
      <w:lvlText w:val=""/>
      <w:lvlJc w:val="left"/>
    </w:lvl>
    <w:lvl w:ilvl="3" w:tplc="EAB4B048">
      <w:numFmt w:val="decimal"/>
      <w:lvlText w:val=""/>
      <w:lvlJc w:val="left"/>
    </w:lvl>
    <w:lvl w:ilvl="4" w:tplc="36944352">
      <w:numFmt w:val="decimal"/>
      <w:lvlText w:val=""/>
      <w:lvlJc w:val="left"/>
    </w:lvl>
    <w:lvl w:ilvl="5" w:tplc="20468918">
      <w:numFmt w:val="decimal"/>
      <w:lvlText w:val=""/>
      <w:lvlJc w:val="left"/>
    </w:lvl>
    <w:lvl w:ilvl="6" w:tplc="FDFA167C">
      <w:numFmt w:val="decimal"/>
      <w:lvlText w:val=""/>
      <w:lvlJc w:val="left"/>
    </w:lvl>
    <w:lvl w:ilvl="7" w:tplc="0DEA36C6">
      <w:numFmt w:val="decimal"/>
      <w:lvlText w:val=""/>
      <w:lvlJc w:val="left"/>
    </w:lvl>
    <w:lvl w:ilvl="8" w:tplc="B39CDA3E">
      <w:numFmt w:val="decimal"/>
      <w:lvlText w:val=""/>
      <w:lvlJc w:val="left"/>
    </w:lvl>
  </w:abstractNum>
  <w:abstractNum w:abstractNumId="1" w15:restartNumberingAfterBreak="0">
    <w:nsid w:val="6F090047"/>
    <w:multiLevelType w:val="hybridMultilevel"/>
    <w:tmpl w:val="C3FE6D74"/>
    <w:lvl w:ilvl="0" w:tplc="70E2F6DC">
      <w:start w:val="1"/>
      <w:numFmt w:val="bullet"/>
      <w:lvlText w:val="•"/>
      <w:lvlJc w:val="left"/>
      <w:pPr>
        <w:ind w:left="360" w:hanging="200"/>
      </w:pPr>
    </w:lvl>
    <w:lvl w:ilvl="1" w:tplc="004814E4">
      <w:start w:val="1"/>
      <w:numFmt w:val="bullet"/>
      <w:lvlText w:val="◦"/>
      <w:lvlJc w:val="left"/>
      <w:pPr>
        <w:ind w:left="720" w:hanging="200"/>
      </w:pPr>
    </w:lvl>
    <w:lvl w:ilvl="2" w:tplc="C0C0FF9C">
      <w:numFmt w:val="decimal"/>
      <w:lvlText w:val=""/>
      <w:lvlJc w:val="left"/>
    </w:lvl>
    <w:lvl w:ilvl="3" w:tplc="C00C42FC">
      <w:numFmt w:val="decimal"/>
      <w:lvlText w:val=""/>
      <w:lvlJc w:val="left"/>
    </w:lvl>
    <w:lvl w:ilvl="4" w:tplc="4D1241B6">
      <w:numFmt w:val="decimal"/>
      <w:lvlText w:val=""/>
      <w:lvlJc w:val="left"/>
    </w:lvl>
    <w:lvl w:ilvl="5" w:tplc="32DEB5BC">
      <w:numFmt w:val="decimal"/>
      <w:lvlText w:val=""/>
      <w:lvlJc w:val="left"/>
    </w:lvl>
    <w:lvl w:ilvl="6" w:tplc="7CA078F8">
      <w:numFmt w:val="decimal"/>
      <w:lvlText w:val=""/>
      <w:lvlJc w:val="left"/>
    </w:lvl>
    <w:lvl w:ilvl="7" w:tplc="33F24674">
      <w:numFmt w:val="decimal"/>
      <w:lvlText w:val=""/>
      <w:lvlJc w:val="left"/>
    </w:lvl>
    <w:lvl w:ilvl="8" w:tplc="2DA4758A">
      <w:numFmt w:val="decimal"/>
      <w:lvlText w:val=""/>
      <w:lvlJc w:val="left"/>
    </w:lvl>
  </w:abstractNum>
  <w:abstractNum w:abstractNumId="2" w15:restartNumberingAfterBreak="0">
    <w:nsid w:val="7399747F"/>
    <w:multiLevelType w:val="hybridMultilevel"/>
    <w:tmpl w:val="F4087538"/>
    <w:lvl w:ilvl="0" w:tplc="845EAF96">
      <w:start w:val="1"/>
      <w:numFmt w:val="bullet"/>
      <w:lvlText w:val="●"/>
      <w:lvlJc w:val="left"/>
      <w:pPr>
        <w:ind w:left="720" w:hanging="360"/>
      </w:pPr>
    </w:lvl>
    <w:lvl w:ilvl="1" w:tplc="7C74CE64">
      <w:start w:val="1"/>
      <w:numFmt w:val="bullet"/>
      <w:lvlText w:val="○"/>
      <w:lvlJc w:val="left"/>
      <w:pPr>
        <w:ind w:left="1440" w:hanging="360"/>
      </w:pPr>
    </w:lvl>
    <w:lvl w:ilvl="2" w:tplc="7196EDBA">
      <w:start w:val="1"/>
      <w:numFmt w:val="bullet"/>
      <w:lvlText w:val="■"/>
      <w:lvlJc w:val="left"/>
      <w:pPr>
        <w:ind w:left="2160" w:hanging="360"/>
      </w:pPr>
    </w:lvl>
    <w:lvl w:ilvl="3" w:tplc="BF20CEAC">
      <w:start w:val="1"/>
      <w:numFmt w:val="bullet"/>
      <w:lvlText w:val="●"/>
      <w:lvlJc w:val="left"/>
      <w:pPr>
        <w:ind w:left="2880" w:hanging="360"/>
      </w:pPr>
    </w:lvl>
    <w:lvl w:ilvl="4" w:tplc="4B8496CE">
      <w:start w:val="1"/>
      <w:numFmt w:val="bullet"/>
      <w:lvlText w:val="○"/>
      <w:lvlJc w:val="left"/>
      <w:pPr>
        <w:ind w:left="3600" w:hanging="360"/>
      </w:pPr>
    </w:lvl>
    <w:lvl w:ilvl="5" w:tplc="E2825860">
      <w:start w:val="1"/>
      <w:numFmt w:val="bullet"/>
      <w:lvlText w:val="■"/>
      <w:lvlJc w:val="left"/>
      <w:pPr>
        <w:ind w:left="4320" w:hanging="360"/>
      </w:pPr>
    </w:lvl>
    <w:lvl w:ilvl="6" w:tplc="E1B806A0">
      <w:start w:val="1"/>
      <w:numFmt w:val="bullet"/>
      <w:lvlText w:val="●"/>
      <w:lvlJc w:val="left"/>
      <w:pPr>
        <w:ind w:left="5040" w:hanging="360"/>
      </w:pPr>
    </w:lvl>
    <w:lvl w:ilvl="7" w:tplc="62909FA2">
      <w:start w:val="1"/>
      <w:numFmt w:val="bullet"/>
      <w:lvlText w:val="●"/>
      <w:lvlJc w:val="left"/>
      <w:pPr>
        <w:ind w:left="5760" w:hanging="360"/>
      </w:pPr>
    </w:lvl>
    <w:lvl w:ilvl="8" w:tplc="A7C48904">
      <w:start w:val="1"/>
      <w:numFmt w:val="bullet"/>
      <w:lvlText w:val="●"/>
      <w:lvlJc w:val="left"/>
      <w:pPr>
        <w:ind w:left="6480" w:hanging="360"/>
      </w:pPr>
    </w:lvl>
  </w:abstractNum>
  <w:num w:numId="1" w16cid:durableId="271523707">
    <w:abstractNumId w:val="2"/>
    <w:lvlOverride w:ilvl="0">
      <w:startOverride w:val="1"/>
    </w:lvlOverride>
  </w:num>
  <w:num w:numId="2" w16cid:durableId="794178121">
    <w:abstractNumId w:val="0"/>
    <w:lvlOverride w:ilvl="0">
      <w:startOverride w:val="1"/>
    </w:lvlOverride>
  </w:num>
  <w:num w:numId="3" w16cid:durableId="1835410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CB8"/>
    <w:rsid w:val="00003357"/>
    <w:rsid w:val="00031D92"/>
    <w:rsid w:val="00071AE0"/>
    <w:rsid w:val="00093B00"/>
    <w:rsid w:val="000B4444"/>
    <w:rsid w:val="000C70D2"/>
    <w:rsid w:val="000D59E5"/>
    <w:rsid w:val="001020C1"/>
    <w:rsid w:val="0011262A"/>
    <w:rsid w:val="00125C76"/>
    <w:rsid w:val="00125DC7"/>
    <w:rsid w:val="00125FC4"/>
    <w:rsid w:val="001670E4"/>
    <w:rsid w:val="00167E75"/>
    <w:rsid w:val="001942BE"/>
    <w:rsid w:val="001B7FE8"/>
    <w:rsid w:val="001C0960"/>
    <w:rsid w:val="001E32EC"/>
    <w:rsid w:val="00200231"/>
    <w:rsid w:val="002053E2"/>
    <w:rsid w:val="0021118C"/>
    <w:rsid w:val="002470F9"/>
    <w:rsid w:val="00271CF6"/>
    <w:rsid w:val="00290EB2"/>
    <w:rsid w:val="002B4BED"/>
    <w:rsid w:val="002C5B8E"/>
    <w:rsid w:val="002D3A52"/>
    <w:rsid w:val="00312B84"/>
    <w:rsid w:val="003546FA"/>
    <w:rsid w:val="003A029B"/>
    <w:rsid w:val="003A15BB"/>
    <w:rsid w:val="003A38D2"/>
    <w:rsid w:val="003F586E"/>
    <w:rsid w:val="0040619A"/>
    <w:rsid w:val="00426BC9"/>
    <w:rsid w:val="00436123"/>
    <w:rsid w:val="00482BF0"/>
    <w:rsid w:val="004A3815"/>
    <w:rsid w:val="004D0DF4"/>
    <w:rsid w:val="004E0F79"/>
    <w:rsid w:val="004F0521"/>
    <w:rsid w:val="00522913"/>
    <w:rsid w:val="0058676C"/>
    <w:rsid w:val="005A203D"/>
    <w:rsid w:val="005A4A1F"/>
    <w:rsid w:val="005A7589"/>
    <w:rsid w:val="005B47D1"/>
    <w:rsid w:val="005C0CB0"/>
    <w:rsid w:val="005F087C"/>
    <w:rsid w:val="005F1050"/>
    <w:rsid w:val="00600293"/>
    <w:rsid w:val="00600904"/>
    <w:rsid w:val="006132CF"/>
    <w:rsid w:val="00615CD8"/>
    <w:rsid w:val="00636FA1"/>
    <w:rsid w:val="0064251F"/>
    <w:rsid w:val="00673CC8"/>
    <w:rsid w:val="006A0191"/>
    <w:rsid w:val="006B0475"/>
    <w:rsid w:val="006C5D8B"/>
    <w:rsid w:val="006C5FE8"/>
    <w:rsid w:val="007110D8"/>
    <w:rsid w:val="0074676D"/>
    <w:rsid w:val="00763487"/>
    <w:rsid w:val="00784E0E"/>
    <w:rsid w:val="007A002F"/>
    <w:rsid w:val="007A4B1B"/>
    <w:rsid w:val="007C0FF8"/>
    <w:rsid w:val="007C2132"/>
    <w:rsid w:val="007C5904"/>
    <w:rsid w:val="007F182B"/>
    <w:rsid w:val="007F3484"/>
    <w:rsid w:val="00806816"/>
    <w:rsid w:val="00810410"/>
    <w:rsid w:val="00813CB8"/>
    <w:rsid w:val="0082667F"/>
    <w:rsid w:val="00827F6F"/>
    <w:rsid w:val="008314D7"/>
    <w:rsid w:val="008714B0"/>
    <w:rsid w:val="0088379B"/>
    <w:rsid w:val="008E54CE"/>
    <w:rsid w:val="00946B7D"/>
    <w:rsid w:val="009478FA"/>
    <w:rsid w:val="00966F1D"/>
    <w:rsid w:val="0097486D"/>
    <w:rsid w:val="009843E5"/>
    <w:rsid w:val="009F0196"/>
    <w:rsid w:val="00A314E9"/>
    <w:rsid w:val="00A9006E"/>
    <w:rsid w:val="00A95B1D"/>
    <w:rsid w:val="00AE0204"/>
    <w:rsid w:val="00AE4134"/>
    <w:rsid w:val="00B42A76"/>
    <w:rsid w:val="00B47B94"/>
    <w:rsid w:val="00BF5E42"/>
    <w:rsid w:val="00BF642E"/>
    <w:rsid w:val="00BF7850"/>
    <w:rsid w:val="00C27C7A"/>
    <w:rsid w:val="00C40977"/>
    <w:rsid w:val="00C40B66"/>
    <w:rsid w:val="00C4663E"/>
    <w:rsid w:val="00C556CD"/>
    <w:rsid w:val="00C56584"/>
    <w:rsid w:val="00C84E7C"/>
    <w:rsid w:val="00CC46C3"/>
    <w:rsid w:val="00CE5FEA"/>
    <w:rsid w:val="00D04017"/>
    <w:rsid w:val="00D06374"/>
    <w:rsid w:val="00D74F4C"/>
    <w:rsid w:val="00D756EA"/>
    <w:rsid w:val="00D83B8A"/>
    <w:rsid w:val="00D8451A"/>
    <w:rsid w:val="00DB7372"/>
    <w:rsid w:val="00DD18AA"/>
    <w:rsid w:val="00DE2F6C"/>
    <w:rsid w:val="00DE5865"/>
    <w:rsid w:val="00DF1B5E"/>
    <w:rsid w:val="00E03A8E"/>
    <w:rsid w:val="00E4018A"/>
    <w:rsid w:val="00E413C3"/>
    <w:rsid w:val="00E4518F"/>
    <w:rsid w:val="00E47759"/>
    <w:rsid w:val="00E53120"/>
    <w:rsid w:val="00E5576B"/>
    <w:rsid w:val="00E82790"/>
    <w:rsid w:val="00E859AC"/>
    <w:rsid w:val="00EB0A6D"/>
    <w:rsid w:val="00F01D14"/>
    <w:rsid w:val="00F677C6"/>
    <w:rsid w:val="00FD7567"/>
    <w:rsid w:val="00FE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36797"/>
  <w15:docId w15:val="{E448CCCA-4B51-4BD3-90E7-FD16E7E3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EastAsia" w:hAnsi="Calibri Light" w:cs="Calibri Light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要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42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942B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942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942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emafor.com/article/07/02/2026/blue-owl-hit-by-billions-in-redemptions-again" TargetMode="External"/><Relationship Id="rId18" Type="http://schemas.openxmlformats.org/officeDocument/2006/relationships/hyperlink" Target="https://in.investing.com/news/stock-market-news/thoma-bravos-51b-medallia-wipeout-deepens-software-private-credit-reckoning-5355406" TargetMode="External"/><Relationship Id="rId26" Type="http://schemas.openxmlformats.org/officeDocument/2006/relationships/hyperlink" Target="https://www.bain.com/insights/100-billion-saas-opportunity-hiding-in-cross-system-labor/" TargetMode="External"/><Relationship Id="rId39" Type="http://schemas.openxmlformats.org/officeDocument/2006/relationships/image" Target="media/image10.png"/><Relationship Id="rId21" Type="http://schemas.openxmlformats.org/officeDocument/2006/relationships/hyperlink" Target="https://www.privateequitywire.co.uk/private-credit-avoids-worst-case-scenario-as-bdc-results-point-to-stabilisation/" TargetMode="External"/><Relationship Id="rId34" Type="http://schemas.openxmlformats.org/officeDocument/2006/relationships/image" Target="media/image5.png"/><Relationship Id="rId42" Type="http://schemas.openxmlformats.org/officeDocument/2006/relationships/header" Target="header2.xml"/><Relationship Id="rId47" Type="http://schemas.openxmlformats.org/officeDocument/2006/relationships/image" Target="media/image13.png"/><Relationship Id="rId50" Type="http://schemas.openxmlformats.org/officeDocument/2006/relationships/image" Target="media/image16.png"/><Relationship Id="rId55" Type="http://schemas.openxmlformats.org/officeDocument/2006/relationships/image" Target="media/image21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bloomberg.com/news/articles/2026-06-08/blue-owl-fund-hit-by-redemptions-set-to-sell-500-million-bond" TargetMode="External"/><Relationship Id="rId29" Type="http://schemas.openxmlformats.org/officeDocument/2006/relationships/hyperlink" Target="https://www.techtimes.com/articles/320956/20260719/gemini-enterprise-agent-platform-leads-enterprise-ai-governance-openai-starts-billing-agents.htm" TargetMode="External"/><Relationship Id="rId11" Type="http://schemas.openxmlformats.org/officeDocument/2006/relationships/hyperlink" Target="https://www.investmentnews.com/regulation-legal-compliance/investors-sue-blue-owl-adviser-allege-inflated-marks-drove-windfall-fees/267109" TargetMode="External"/><Relationship Id="rId24" Type="http://schemas.openxmlformats.org/officeDocument/2006/relationships/hyperlink" Target="https://www.cnbc.com/2026/04/09/anthropic-new-ai-agent-software-stocks-selloff.html" TargetMode="External"/><Relationship Id="rId32" Type="http://schemas.openxmlformats.org/officeDocument/2006/relationships/image" Target="media/image3.png"/><Relationship Id="rId37" Type="http://schemas.openxmlformats.org/officeDocument/2006/relationships/image" Target="media/image8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3" Type="http://schemas.openxmlformats.org/officeDocument/2006/relationships/image" Target="media/image19.png"/><Relationship Id="rId58" Type="http://schemas.openxmlformats.org/officeDocument/2006/relationships/header" Target="header4.xml"/><Relationship Id="rId5" Type="http://schemas.openxmlformats.org/officeDocument/2006/relationships/styles" Target="styles.xml"/><Relationship Id="rId61" Type="http://schemas.openxmlformats.org/officeDocument/2006/relationships/theme" Target="theme/theme1.xml"/><Relationship Id="rId19" Type="http://schemas.openxmlformats.org/officeDocument/2006/relationships/hyperlink" Target="https://www.privateequitywire.co.uk/blackstone-and-kkr-to-assume-control-of-dental-group-affordable-care/" TargetMode="External"/><Relationship Id="rId14" Type="http://schemas.openxmlformats.org/officeDocument/2006/relationships/hyperlink" Target="https://www.businesswire.com/news/home/20260602365356/en/KBRA-Assigns-Rating-to-Blue-Owl-Technology-Finance-Corp.s-$500-Million-Senior-Unsecured-Notes-due-2029" TargetMode="External"/><Relationship Id="rId22" Type="http://schemas.openxmlformats.org/officeDocument/2006/relationships/hyperlink" Target="https://octus.com/resources/articles/litigation-coverage-ares-capital-corp-investor-accuses-bdc-advisor-of-collecting-excessive-fees-inflating-marks-masking-leverage/" TargetMode="External"/><Relationship Id="rId27" Type="http://schemas.openxmlformats.org/officeDocument/2006/relationships/hyperlink" Target="https://hbr.org/2026/05/ais-impact-on-saas-will-be-uneven-heres-what-leaders-need-to-know" TargetMode="External"/><Relationship Id="rId30" Type="http://schemas.openxmlformats.org/officeDocument/2006/relationships/hyperlink" Target="https://www.bloomberg.com/graphics/2026-ai-private-equity-software/" TargetMode="External"/><Relationship Id="rId35" Type="http://schemas.openxmlformats.org/officeDocument/2006/relationships/image" Target="media/image6.png"/><Relationship Id="rId43" Type="http://schemas.openxmlformats.org/officeDocument/2006/relationships/footer" Target="footer2.xml"/><Relationship Id="rId48" Type="http://schemas.openxmlformats.org/officeDocument/2006/relationships/image" Target="media/image14.png"/><Relationship Id="rId56" Type="http://schemas.openxmlformats.org/officeDocument/2006/relationships/image" Target="media/image22.png"/><Relationship Id="rId8" Type="http://schemas.openxmlformats.org/officeDocument/2006/relationships/footnotes" Target="footnotes.xml"/><Relationship Id="rId51" Type="http://schemas.openxmlformats.org/officeDocument/2006/relationships/image" Target="media/image17.png"/><Relationship Id="rId3" Type="http://schemas.openxmlformats.org/officeDocument/2006/relationships/customXml" Target="../customXml/item3.xml"/><Relationship Id="rId12" Type="http://schemas.openxmlformats.org/officeDocument/2006/relationships/hyperlink" Target="https://www.prnewswire.com/news-releases/blue-owl-technology-finance-corp-announces-june-30-2026-financial-results-302844208.html" TargetMode="External"/><Relationship Id="rId17" Type="http://schemas.openxmlformats.org/officeDocument/2006/relationships/hyperlink" Target="https://cryptobriefing.com/ubs-blue-owl-private-credit-exodus/" TargetMode="External"/><Relationship Id="rId25" Type="http://schemas.openxmlformats.org/officeDocument/2006/relationships/hyperlink" Target="https://www.bain.com/insights/ai-brings-headwinds-and-tailwinds-to-the-rule-of-40/" TargetMode="External"/><Relationship Id="rId33" Type="http://schemas.openxmlformats.org/officeDocument/2006/relationships/image" Target="media/image4.png"/><Relationship Id="rId38" Type="http://schemas.openxmlformats.org/officeDocument/2006/relationships/image" Target="media/image9.png"/><Relationship Id="rId46" Type="http://schemas.openxmlformats.org/officeDocument/2006/relationships/image" Target="media/image12.png"/><Relationship Id="rId59" Type="http://schemas.openxmlformats.org/officeDocument/2006/relationships/footer" Target="footer4.xml"/><Relationship Id="rId20" Type="http://schemas.openxmlformats.org/officeDocument/2006/relationships/hyperlink" Target="https://www.privateequitywire.co.uk/private-credit-avoids-worst-case-scenario-as-bdc-results-point-to-stabilisation/" TargetMode="External"/><Relationship Id="rId41" Type="http://schemas.openxmlformats.org/officeDocument/2006/relationships/footer" Target="footer1.xml"/><Relationship Id="rId54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alternativecreditinvestor.com/2026/04/08/blue-owl-private-credit-fund-outlook-cut-by-moodys-after-investor-redemption-surge/" TargetMode="External"/><Relationship Id="rId23" Type="http://schemas.openxmlformats.org/officeDocument/2006/relationships/hyperlink" Target="https://www.privateequitywire.co.uk/private-credit-avoids-worst-case-scenario-as-bdc-results-point-to-stabilisation/" TargetMode="External"/><Relationship Id="rId28" Type="http://schemas.openxmlformats.org/officeDocument/2006/relationships/hyperlink" Target="https://www.bain.com/insights/how-will-ai-change-software-organizations/" TargetMode="External"/><Relationship Id="rId36" Type="http://schemas.openxmlformats.org/officeDocument/2006/relationships/image" Target="media/image7.png"/><Relationship Id="rId49" Type="http://schemas.openxmlformats.org/officeDocument/2006/relationships/image" Target="media/image15.png"/><Relationship Id="rId57" Type="http://schemas.openxmlformats.org/officeDocument/2006/relationships/image" Target="media/image23.png"/><Relationship Id="rId10" Type="http://schemas.openxmlformats.org/officeDocument/2006/relationships/image" Target="media/image1.png"/><Relationship Id="rId31" Type="http://schemas.openxmlformats.org/officeDocument/2006/relationships/image" Target="media/image2.png"/><Relationship Id="rId44" Type="http://schemas.openxmlformats.org/officeDocument/2006/relationships/header" Target="header3.xml"/><Relationship Id="rId52" Type="http://schemas.openxmlformats.org/officeDocument/2006/relationships/image" Target="media/image18.png"/><Relationship Id="rId6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bb1062-41e6-432c-9c43-d324a8966ea8">
      <Terms xmlns="http://schemas.microsoft.com/office/infopath/2007/PartnerControls"/>
    </lcf76f155ced4ddcb4097134ff3c332f>
    <TaxCatchAll xmlns="99780c3d-ce84-4612-bd1f-c1310cd1ad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1D05CCF851AC4192721B5C18719E0A" ma:contentTypeVersion="14" ma:contentTypeDescription="Create a new document." ma:contentTypeScope="" ma:versionID="78520571c042d76978e9ec0fe631ebdf">
  <xsd:schema xmlns:xsd="http://www.w3.org/2001/XMLSchema" xmlns:xs="http://www.w3.org/2001/XMLSchema" xmlns:p="http://schemas.microsoft.com/office/2006/metadata/properties" xmlns:ns2="bfbb1062-41e6-432c-9c43-d324a8966ea8" xmlns:ns3="99780c3d-ce84-4612-bd1f-c1310cd1ad15" targetNamespace="http://schemas.microsoft.com/office/2006/metadata/properties" ma:root="true" ma:fieldsID="956673cc0575f07931f680defeba172c" ns2:_="" ns3:_="">
    <xsd:import namespace="bfbb1062-41e6-432c-9c43-d324a8966ea8"/>
    <xsd:import namespace="99780c3d-ce84-4612-bd1f-c1310cd1ad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b1062-41e6-432c-9c43-d324a8966e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af81b6-6ddb-4c7c-9707-17f1317d6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80c3d-ce84-4612-bd1f-c1310cd1ad1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63fe86c-0038-4a3d-9f4e-054dcbe1eede}" ma:internalName="TaxCatchAll" ma:showField="CatchAllData" ma:web="99780c3d-ce84-4612-bd1f-c1310cd1ad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982A6A-FAAC-4A4B-8006-D22B488382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9D1CB7-E710-4AA5-80D7-24062401CA9E}">
  <ds:schemaRefs>
    <ds:schemaRef ds:uri="http://schemas.microsoft.com/office/2006/metadata/properties"/>
    <ds:schemaRef ds:uri="http://schemas.microsoft.com/office/infopath/2007/PartnerControls"/>
    <ds:schemaRef ds:uri="bfbb1062-41e6-432c-9c43-d324a8966ea8"/>
    <ds:schemaRef ds:uri="99780c3d-ce84-4612-bd1f-c1310cd1ad15"/>
  </ds:schemaRefs>
</ds:datastoreItem>
</file>

<file path=customXml/itemProps3.xml><?xml version="1.0" encoding="utf-8"?>
<ds:datastoreItem xmlns:ds="http://schemas.openxmlformats.org/officeDocument/2006/customXml" ds:itemID="{4A05069A-532A-4A9A-9A82-133498E670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bb1062-41e6-432c-9c43-d324a8966ea8"/>
    <ds:schemaRef ds:uri="99780c3d-ce84-4612-bd1f-c1310cd1ad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4251</Words>
  <Characters>24232</Characters>
  <Application>Microsoft Office Word</Application>
  <DocSecurity>0</DocSecurity>
  <Lines>201</Lines>
  <Paragraphs>56</Paragraphs>
  <ScaleCrop>false</ScaleCrop>
  <Company/>
  <LinksUpToDate>false</LinksUpToDate>
  <CharactersWithSpaces>28427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Xiyang Zhao</cp:lastModifiedBy>
  <cp:revision>4</cp:revision>
  <cp:lastPrinted>2026-08-18T10:10:00Z</cp:lastPrinted>
  <dcterms:created xsi:type="dcterms:W3CDTF">2026-08-18T10:11:00Z</dcterms:created>
  <dcterms:modified xsi:type="dcterms:W3CDTF">2026-08-26T05:59:00Z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0x010100881D05CCF851AC4192721B5C18719E0A</vt:lpwstr>
  </property>
  <property fmtid="{D5CDD505-2E9C-101B-9397-08002B2CF9AE}" pid="3" name="MediaServiceImageTags">
    <vt:lpwstr/>
  </property>
</Properties>
</file>