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6CFC" w14:textId="77777777" w:rsidR="00CB3162" w:rsidRDefault="005A337A">
      <w:pPr>
        <w:spacing w:after="20" w:line="236" w:lineRule="auto"/>
      </w:pPr>
      <w:r>
        <w:rPr>
          <w:b/>
          <w:bCs/>
          <w:color w:val="2E6DA4"/>
          <w:sz w:val="16"/>
          <w:szCs w:val="16"/>
        </w:rPr>
        <w:t>JUNSON Capital | Alternative Investment Division</w:t>
      </w:r>
    </w:p>
    <w:p w14:paraId="10A4C648" w14:textId="53F58E51" w:rsidR="00CB3162" w:rsidRDefault="005A337A">
      <w:pPr>
        <w:spacing w:after="20" w:line="236" w:lineRule="auto"/>
        <w:rPr>
          <w:b/>
          <w:bCs/>
          <w:color w:val="1F3B5B"/>
          <w:sz w:val="28"/>
          <w:szCs w:val="28"/>
        </w:rPr>
      </w:pPr>
      <w:r>
        <w:rPr>
          <w:b/>
          <w:bCs/>
          <w:color w:val="1F3B5B"/>
          <w:sz w:val="28"/>
          <w:szCs w:val="28"/>
        </w:rPr>
        <w:t xml:space="preserve">OTF </w:t>
      </w:r>
      <w:r w:rsidR="00A42AA7">
        <w:rPr>
          <w:rFonts w:hint="eastAsia"/>
          <w:b/>
          <w:bCs/>
          <w:color w:val="1F3B5B"/>
          <w:sz w:val="28"/>
          <w:szCs w:val="28"/>
        </w:rPr>
        <w:t>研究报告</w:t>
      </w:r>
      <w:r>
        <w:rPr>
          <w:b/>
          <w:bCs/>
          <w:color w:val="1F3B5B"/>
          <w:sz w:val="28"/>
          <w:szCs w:val="28"/>
        </w:rPr>
        <w:t>摘要</w:t>
      </w:r>
      <w:r>
        <w:rPr>
          <w:b/>
          <w:bCs/>
          <w:color w:val="1F3B5B"/>
          <w:sz w:val="28"/>
          <w:szCs w:val="28"/>
        </w:rPr>
        <w:t xml:space="preserve"> — 2026Q3</w:t>
      </w:r>
    </w:p>
    <w:p w14:paraId="59F345A3" w14:textId="77777777" w:rsidR="00A42AA7" w:rsidRPr="00A42AA7" w:rsidRDefault="00A42AA7">
      <w:pPr>
        <w:spacing w:after="20" w:line="236" w:lineRule="auto"/>
        <w:rPr>
          <w:sz w:val="6"/>
          <w:szCs w:val="6"/>
        </w:rPr>
      </w:pP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5"/>
      </w:tblGrid>
      <w:tr w:rsidR="00CB3162" w14:paraId="7ACFEED3" w14:textId="77777777">
        <w:tc>
          <w:tcPr>
            <w:tcW w:w="10245" w:type="dxa"/>
            <w:tcBorders>
              <w:top w:val="single" w:sz="12" w:space="0" w:color="1F3B5B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7AD87C" w14:textId="77777777" w:rsidR="00CB3162" w:rsidRDefault="005A337A">
            <w:pPr>
              <w:spacing w:line="236" w:lineRule="auto"/>
            </w:pPr>
            <w:r>
              <w:rPr>
                <w:b/>
                <w:bCs/>
                <w:color w:val="1F3B5B"/>
              </w:rPr>
              <w:t>结论：</w:t>
            </w:r>
            <w:r>
              <w:rPr>
                <w:color w:val="000000"/>
              </w:rPr>
              <w:t xml:space="preserve">OTF </w:t>
            </w:r>
            <w:r>
              <w:rPr>
                <w:color w:val="000000"/>
              </w:rPr>
              <w:t>本季企稳（</w:t>
            </w:r>
            <w:r>
              <w:rPr>
                <w:color w:val="000000"/>
              </w:rPr>
              <w:t xml:space="preserve">NAV </w:t>
            </w:r>
            <w:r>
              <w:rPr>
                <w:color w:val="000000"/>
              </w:rPr>
              <w:t>持平于</w:t>
            </w:r>
            <w:r>
              <w:rPr>
                <w:color w:val="000000"/>
              </w:rPr>
              <w:t xml:space="preserve"> $16.48</w:t>
            </w:r>
            <w:r>
              <w:rPr>
                <w:color w:val="000000"/>
              </w:rPr>
              <w:t>，非应计</w:t>
            </w:r>
            <w:r>
              <w:rPr>
                <w:color w:val="000000"/>
              </w:rPr>
              <w:t xml:space="preserve"> 0.6% </w:t>
            </w:r>
            <w:r>
              <w:rPr>
                <w:color w:val="000000"/>
              </w:rPr>
              <w:t>成本口径仍为六家同业最低），但行业信用尾部在恶化、且组合恰好集中在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压力最大的应用软件层。持仓评估为</w:t>
            </w:r>
            <w:r>
              <w:rPr>
                <w:b/>
                <w:bCs/>
                <w:color w:val="1F3B5B"/>
              </w:rPr>
              <w:t>「整体良好、需持续观察」</w:t>
            </w:r>
            <w:r>
              <w:rPr>
                <w:color w:val="000000"/>
              </w:rPr>
              <w:t>：维持持仓不动，按第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>节触发线跟踪，未破线前不需要操作。</w:t>
            </w:r>
          </w:p>
        </w:tc>
      </w:tr>
    </w:tbl>
    <w:p w14:paraId="160A166E" w14:textId="77777777" w:rsidR="00CB3162" w:rsidRDefault="00CB3162">
      <w:pPr>
        <w:spacing w:after="20" w:line="236" w:lineRule="auto"/>
      </w:pPr>
    </w:p>
    <w:p w14:paraId="1C0B4484" w14:textId="77777777" w:rsidR="00CB3162" w:rsidRDefault="005A337A">
      <w:pPr>
        <w:spacing w:before="60" w:after="50" w:line="236" w:lineRule="auto"/>
      </w:pPr>
      <w:r>
        <w:rPr>
          <w:b/>
          <w:bCs/>
          <w:color w:val="1F3B5B"/>
          <w:sz w:val="22"/>
          <w:szCs w:val="22"/>
        </w:rPr>
        <w:t xml:space="preserve">OTF </w:t>
      </w:r>
      <w:r>
        <w:rPr>
          <w:b/>
          <w:bCs/>
          <w:color w:val="1F3B5B"/>
          <w:sz w:val="22"/>
          <w:szCs w:val="22"/>
        </w:rPr>
        <w:t>关键指标速览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750"/>
        <w:gridCol w:w="1750"/>
        <w:gridCol w:w="1450"/>
        <w:gridCol w:w="2645"/>
      </w:tblGrid>
      <w:tr w:rsidR="00CB3162" w14:paraId="7148F7F5" w14:textId="77777777">
        <w:trPr>
          <w:tblHeader/>
        </w:trPr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7504B86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指标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E6E5022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Q1'26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9051D50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Q2'26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44274A8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环比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4822EC4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备注</w:t>
            </w:r>
          </w:p>
        </w:tc>
      </w:tr>
      <w:tr w:rsidR="00CB3162" w14:paraId="30287A12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75D5B48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NAV / </w:t>
            </w:r>
            <w:r>
              <w:rPr>
                <w:color w:val="000000"/>
                <w:sz w:val="16"/>
                <w:szCs w:val="16"/>
              </w:rPr>
              <w:t>股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3839492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$16.49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9E7A6D1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$16.48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6F76A7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−$0.01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CBCC042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利差企稳，估值损益转正</w:t>
            </w:r>
            <w:r>
              <w:rPr>
                <w:color w:val="000000"/>
                <w:sz w:val="16"/>
                <w:szCs w:val="16"/>
              </w:rPr>
              <w:t xml:space="preserve"> +$0.03</w:t>
            </w:r>
          </w:p>
        </w:tc>
      </w:tr>
      <w:tr w:rsidR="00CB3162" w14:paraId="02156DB8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BDFD311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NII / </w:t>
            </w:r>
            <w:r>
              <w:rPr>
                <w:color w:val="000000"/>
                <w:sz w:val="16"/>
                <w:szCs w:val="16"/>
              </w:rPr>
              <w:t>股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与总分红覆盖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4B0F46F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$0.37 / 93%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39E4E8B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$0.30 / 75%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B380D0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↓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05899EA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对</w:t>
            </w:r>
            <w:r>
              <w:rPr>
                <w:color w:val="000000"/>
                <w:sz w:val="16"/>
                <w:szCs w:val="16"/>
              </w:rPr>
              <w:t xml:space="preserve"> $0.35 </w:t>
            </w:r>
            <w:r>
              <w:rPr>
                <w:color w:val="000000"/>
                <w:sz w:val="16"/>
                <w:szCs w:val="16"/>
              </w:rPr>
              <w:t>基础分红覆盖</w:t>
            </w:r>
            <w:r>
              <w:rPr>
                <w:color w:val="000000"/>
                <w:sz w:val="16"/>
                <w:szCs w:val="16"/>
              </w:rPr>
              <w:t xml:space="preserve"> 86%</w:t>
            </w:r>
          </w:p>
        </w:tc>
      </w:tr>
      <w:tr w:rsidR="00CB3162" w14:paraId="50AC6BA6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B1ED8CE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净杠杆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97009B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0.85x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A3188C4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0.93x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95882D8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+0.08x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3A088C9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首次进入</w:t>
            </w:r>
            <w:r>
              <w:rPr>
                <w:color w:val="000000"/>
                <w:sz w:val="16"/>
                <w:szCs w:val="16"/>
              </w:rPr>
              <w:t xml:space="preserve"> 0.90–1.25x </w:t>
            </w:r>
            <w:r>
              <w:rPr>
                <w:color w:val="000000"/>
                <w:sz w:val="16"/>
                <w:szCs w:val="16"/>
              </w:rPr>
              <w:t>目标区间</w:t>
            </w:r>
          </w:p>
        </w:tc>
      </w:tr>
      <w:tr w:rsidR="00CB3162" w14:paraId="29FBDF1E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1AA96FA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非应计（成本</w:t>
            </w:r>
            <w:r>
              <w:rPr>
                <w:color w:val="000000"/>
                <w:sz w:val="16"/>
                <w:szCs w:val="16"/>
              </w:rPr>
              <w:t xml:space="preserve"> / </w:t>
            </w:r>
            <w:r>
              <w:rPr>
                <w:color w:val="000000"/>
                <w:sz w:val="16"/>
                <w:szCs w:val="16"/>
              </w:rPr>
              <w:t>公允值）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86E95DE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0.3% / 0.1%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5781D1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0.6% / 0.1%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C012270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+0.3pp / </w:t>
            </w:r>
            <w:r>
              <w:rPr>
                <w:color w:val="000000"/>
                <w:sz w:val="16"/>
                <w:szCs w:val="16"/>
              </w:rPr>
              <w:t>持平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292EF88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新增一笔软件优先股（</w:t>
            </w:r>
            <w:r>
              <w:rPr>
                <w:color w:val="000000"/>
                <w:sz w:val="16"/>
                <w:szCs w:val="16"/>
              </w:rPr>
              <w:t xml:space="preserve">~$53mm </w:t>
            </w:r>
            <w:r>
              <w:rPr>
                <w:color w:val="000000"/>
                <w:sz w:val="16"/>
                <w:szCs w:val="16"/>
              </w:rPr>
              <w:t>成本）</w:t>
            </w:r>
          </w:p>
        </w:tc>
      </w:tr>
      <w:tr w:rsidR="00CB3162" w14:paraId="41C27B3F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EAB49E8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PIK </w:t>
            </w:r>
            <w:r>
              <w:rPr>
                <w:color w:val="000000"/>
                <w:sz w:val="16"/>
                <w:szCs w:val="16"/>
              </w:rPr>
              <w:t>占投资收益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C3F121C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13.1%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AA6AB4B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12.5%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7061E08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−0.6pp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0BB052E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连续两季下降；</w:t>
            </w:r>
            <w:r>
              <w:rPr>
                <w:color w:val="000000"/>
                <w:sz w:val="16"/>
                <w:szCs w:val="16"/>
              </w:rPr>
              <w:t xml:space="preserve">~98% </w:t>
            </w:r>
            <w:r>
              <w:rPr>
                <w:color w:val="000000"/>
                <w:sz w:val="16"/>
                <w:szCs w:val="16"/>
              </w:rPr>
              <w:t>为原始承保</w:t>
            </w:r>
          </w:p>
        </w:tc>
      </w:tr>
      <w:tr w:rsidR="00CB3162" w14:paraId="51BF3328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CFEE8F1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资产覆盖率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A3B4336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226%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12/31/25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E8E4A68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203%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3C93ED1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↓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A7B92E5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法定下限</w:t>
            </w:r>
            <w:r>
              <w:rPr>
                <w:color w:val="000000"/>
                <w:sz w:val="16"/>
                <w:szCs w:val="16"/>
              </w:rPr>
              <w:t xml:space="preserve"> 150%</w:t>
            </w:r>
            <w:r>
              <w:rPr>
                <w:color w:val="000000"/>
                <w:sz w:val="16"/>
                <w:szCs w:val="16"/>
              </w:rPr>
              <w:t>；可吸收组合跌幅</w:t>
            </w:r>
            <w:r>
              <w:rPr>
                <w:color w:val="000000"/>
                <w:sz w:val="16"/>
                <w:szCs w:val="16"/>
              </w:rPr>
              <w:t xml:space="preserve"> ~27%</w:t>
            </w:r>
          </w:p>
        </w:tc>
      </w:tr>
      <w:tr w:rsidR="00CB3162" w14:paraId="6AB6F22A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F1A68D0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可用流动性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333C0E4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$2.3bn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37BAFB1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$2.0bn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B0FCA02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−$0.3bn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7C564BF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至目标区间上限还有</w:t>
            </w:r>
            <w:r>
              <w:rPr>
                <w:color w:val="000000"/>
                <w:sz w:val="16"/>
                <w:szCs w:val="16"/>
              </w:rPr>
              <w:t xml:space="preserve"> ~$2.4bn </w:t>
            </w:r>
            <w:r>
              <w:rPr>
                <w:color w:val="000000"/>
                <w:sz w:val="16"/>
                <w:szCs w:val="16"/>
              </w:rPr>
              <w:t>债务空间</w:t>
            </w:r>
          </w:p>
        </w:tc>
      </w:tr>
      <w:tr w:rsidR="00CB3162" w14:paraId="7C843F0E" w14:textId="77777777">
        <w:tc>
          <w:tcPr>
            <w:tcW w:w="26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7751BFD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股价</w:t>
            </w:r>
            <w:r>
              <w:rPr>
                <w:color w:val="000000"/>
                <w:sz w:val="16"/>
                <w:szCs w:val="16"/>
              </w:rPr>
              <w:t xml:space="preserve"> / P/NAV / </w:t>
            </w:r>
            <w:r>
              <w:rPr>
                <w:color w:val="000000"/>
                <w:sz w:val="16"/>
                <w:szCs w:val="16"/>
              </w:rPr>
              <w:t>股息率（</w:t>
            </w:r>
            <w:r>
              <w:rPr>
                <w:color w:val="000000"/>
                <w:sz w:val="16"/>
                <w:szCs w:val="16"/>
              </w:rPr>
              <w:t>8/14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2BF6D83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7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4D901B2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$11.46 / 0.70x / 12.2%</w:t>
            </w:r>
            <w:r>
              <w:rPr>
                <w:color w:val="000000"/>
                <w:sz w:val="16"/>
                <w:szCs w:val="16"/>
              </w:rPr>
              <w:t>（含特别</w:t>
            </w:r>
            <w:r>
              <w:rPr>
                <w:color w:val="000000"/>
                <w:sz w:val="16"/>
                <w:szCs w:val="16"/>
              </w:rPr>
              <w:t xml:space="preserve"> 14.0%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1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422F1F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BA96494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折价六家最深；</w:t>
            </w:r>
            <w:r>
              <w:rPr>
                <w:color w:val="000000"/>
                <w:sz w:val="16"/>
                <w:szCs w:val="16"/>
              </w:rPr>
              <w:t xml:space="preserve">Q4'26 </w:t>
            </w:r>
            <w:r>
              <w:rPr>
                <w:color w:val="000000"/>
                <w:sz w:val="16"/>
                <w:szCs w:val="16"/>
              </w:rPr>
              <w:t>起特别分红结束，股息率重置为</w:t>
            </w:r>
            <w:r>
              <w:rPr>
                <w:color w:val="000000"/>
                <w:sz w:val="16"/>
                <w:szCs w:val="16"/>
              </w:rPr>
              <w:t xml:space="preserve"> 12.2%</w:t>
            </w:r>
          </w:p>
        </w:tc>
      </w:tr>
    </w:tbl>
    <w:p w14:paraId="7873EC40" w14:textId="77777777" w:rsidR="00CB3162" w:rsidRDefault="005A337A">
      <w:pPr>
        <w:spacing w:before="30" w:after="60" w:line="236" w:lineRule="auto"/>
      </w:pPr>
      <w:r>
        <w:rPr>
          <w:i/>
          <w:iCs/>
          <w:color w:val="5A6B7B"/>
          <w:sz w:val="13"/>
          <w:szCs w:val="13"/>
        </w:rPr>
        <w:t>资料来源：</w:t>
      </w:r>
      <w:r>
        <w:rPr>
          <w:i/>
          <w:iCs/>
          <w:color w:val="5A6B7B"/>
          <w:sz w:val="13"/>
          <w:szCs w:val="13"/>
        </w:rPr>
        <w:t xml:space="preserve">OTF Q2'26 </w:t>
      </w:r>
      <w:r>
        <w:rPr>
          <w:i/>
          <w:iCs/>
          <w:color w:val="5A6B7B"/>
          <w:sz w:val="13"/>
          <w:szCs w:val="13"/>
        </w:rPr>
        <w:t>与</w:t>
      </w:r>
      <w:r>
        <w:rPr>
          <w:i/>
          <w:iCs/>
          <w:color w:val="5A6B7B"/>
          <w:sz w:val="13"/>
          <w:szCs w:val="13"/>
        </w:rPr>
        <w:t xml:space="preserve"> Q1'26 10-Q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 xml:space="preserve">Q2'26 </w:t>
      </w:r>
      <w:r>
        <w:rPr>
          <w:i/>
          <w:iCs/>
          <w:color w:val="5A6B7B"/>
          <w:sz w:val="13"/>
          <w:szCs w:val="13"/>
        </w:rPr>
        <w:t>业绩演示材料；股价为</w:t>
      </w:r>
      <w:r>
        <w:rPr>
          <w:i/>
          <w:iCs/>
          <w:color w:val="5A6B7B"/>
          <w:sz w:val="13"/>
          <w:szCs w:val="13"/>
        </w:rPr>
        <w:t xml:space="preserve"> stockanalysis.com </w:t>
      </w:r>
      <w:r>
        <w:rPr>
          <w:i/>
          <w:iCs/>
          <w:color w:val="5A6B7B"/>
          <w:sz w:val="13"/>
          <w:szCs w:val="13"/>
        </w:rPr>
        <w:t>交易所收盘价。</w:t>
      </w:r>
    </w:p>
    <w:p w14:paraId="123B504F" w14:textId="77777777" w:rsidR="00CB3162" w:rsidRDefault="005A337A">
      <w:pPr>
        <w:spacing w:before="30" w:after="10"/>
        <w:jc w:val="center"/>
      </w:pPr>
      <w:r>
        <w:rPr>
          <w:noProof/>
        </w:rPr>
        <w:drawing>
          <wp:inline distT="0" distB="0" distL="0" distR="0" wp14:anchorId="3A6D08C3" wp14:editId="17FB11FD">
            <wp:extent cx="3135183" cy="1948604"/>
            <wp:effectExtent l="0" t="0" r="8255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696B57-390D-496E-A2F4-20B3FDB67E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58" cy="19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</w:rPr>
        <w:drawing>
          <wp:inline distT="0" distB="0" distL="0" distR="0" wp14:anchorId="0B6B7BBF" wp14:editId="2091E2E0">
            <wp:extent cx="3145914" cy="2108200"/>
            <wp:effectExtent l="0" t="0" r="0" b="6350"/>
            <wp:docPr id="851104673" name="Picture 851104673">
              <a:extLst xmlns:a="http://schemas.openxmlformats.org/drawingml/2006/main">
                <a:ext uri="{FF2B5EF4-FFF2-40B4-BE49-F238E27FC236}">
                  <a16:creationId xmlns:a16="http://schemas.microsoft.com/office/drawing/2014/main" id="{3169D209-7F72-441B-9BB5-096FDC8B02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52" cy="21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A053" w14:textId="77777777" w:rsidR="00CB3162" w:rsidRDefault="005A337A">
      <w:pPr>
        <w:spacing w:after="50" w:line="236" w:lineRule="auto"/>
        <w:jc w:val="center"/>
      </w:pPr>
      <w:r>
        <w:rPr>
          <w:i/>
          <w:iCs/>
          <w:color w:val="5A6B7B"/>
          <w:sz w:val="13"/>
          <w:szCs w:val="13"/>
        </w:rPr>
        <w:t>左：</w:t>
      </w:r>
      <w:r>
        <w:rPr>
          <w:i/>
          <w:iCs/>
          <w:color w:val="5A6B7B"/>
          <w:sz w:val="13"/>
          <w:szCs w:val="13"/>
        </w:rPr>
        <w:t xml:space="preserve">NAV </w:t>
      </w:r>
      <w:r>
        <w:rPr>
          <w:i/>
          <w:iCs/>
          <w:color w:val="5A6B7B"/>
          <w:sz w:val="13"/>
          <w:szCs w:val="13"/>
        </w:rPr>
        <w:t>桥</w:t>
      </w:r>
      <w:r>
        <w:rPr>
          <w:i/>
          <w:iCs/>
          <w:color w:val="5A6B7B"/>
          <w:sz w:val="13"/>
          <w:szCs w:val="13"/>
        </w:rPr>
        <w:t xml:space="preserve"> — $0.10 </w:t>
      </w:r>
      <w:r>
        <w:rPr>
          <w:i/>
          <w:iCs/>
          <w:color w:val="5A6B7B"/>
          <w:sz w:val="13"/>
          <w:szCs w:val="13"/>
        </w:rPr>
        <w:t>分红缺口被</w:t>
      </w:r>
      <w:r>
        <w:rPr>
          <w:i/>
          <w:iCs/>
          <w:color w:val="5A6B7B"/>
          <w:sz w:val="13"/>
          <w:szCs w:val="13"/>
        </w:rPr>
        <w:t xml:space="preserve"> $0.05 </w:t>
      </w:r>
      <w:r>
        <w:rPr>
          <w:i/>
          <w:iCs/>
          <w:color w:val="5A6B7B"/>
          <w:sz w:val="13"/>
          <w:szCs w:val="13"/>
        </w:rPr>
        <w:t>回购增厚基本填平，估值损益转正；右：</w:t>
      </w:r>
      <w:r>
        <w:rPr>
          <w:i/>
          <w:iCs/>
          <w:color w:val="5A6B7B"/>
          <w:sz w:val="13"/>
          <w:szCs w:val="13"/>
        </w:rPr>
        <w:t xml:space="preserve">NII </w:t>
      </w:r>
      <w:r>
        <w:rPr>
          <w:i/>
          <w:iCs/>
          <w:color w:val="5A6B7B"/>
          <w:sz w:val="13"/>
          <w:szCs w:val="13"/>
        </w:rPr>
        <w:t>对分红覆盖走势</w:t>
      </w:r>
      <w:r>
        <w:rPr>
          <w:i/>
          <w:iCs/>
          <w:color w:val="5A6B7B"/>
          <w:sz w:val="13"/>
          <w:szCs w:val="13"/>
        </w:rPr>
        <w:t xml:space="preserve"> — </w:t>
      </w:r>
      <w:r>
        <w:rPr>
          <w:i/>
          <w:iCs/>
          <w:color w:val="5A6B7B"/>
          <w:sz w:val="13"/>
          <w:szCs w:val="13"/>
        </w:rPr>
        <w:t>基础分红现金覆盖</w:t>
      </w:r>
      <w:r>
        <w:rPr>
          <w:i/>
          <w:iCs/>
          <w:color w:val="5A6B7B"/>
          <w:sz w:val="13"/>
          <w:szCs w:val="13"/>
        </w:rPr>
        <w:t xml:space="preserve"> 86%</w:t>
      </w:r>
      <w:r>
        <w:rPr>
          <w:i/>
          <w:iCs/>
          <w:color w:val="5A6B7B"/>
          <w:sz w:val="13"/>
          <w:szCs w:val="13"/>
        </w:rPr>
        <w:t>。</w:t>
      </w:r>
    </w:p>
    <w:p w14:paraId="31F55820" w14:textId="77777777" w:rsidR="00A42AA7" w:rsidRPr="00A42AA7" w:rsidRDefault="00A42AA7">
      <w:pPr>
        <w:spacing w:before="44" w:after="34" w:line="236" w:lineRule="auto"/>
        <w:rPr>
          <w:b/>
          <w:bCs/>
          <w:color w:val="1F3B5B"/>
          <w:sz w:val="14"/>
          <w:szCs w:val="14"/>
        </w:rPr>
      </w:pPr>
    </w:p>
    <w:p w14:paraId="6307376A" w14:textId="2488DF90" w:rsidR="00CB3162" w:rsidRDefault="005A337A">
      <w:pPr>
        <w:spacing w:before="44" w:after="34" w:line="236" w:lineRule="auto"/>
      </w:pPr>
      <w:r>
        <w:rPr>
          <w:b/>
          <w:bCs/>
          <w:color w:val="1F3B5B"/>
          <w:sz w:val="22"/>
          <w:szCs w:val="22"/>
        </w:rPr>
        <w:t>1. Key News</w:t>
      </w:r>
      <w:r>
        <w:rPr>
          <w:b/>
          <w:bCs/>
          <w:color w:val="1F3B5B"/>
          <w:sz w:val="22"/>
          <w:szCs w:val="22"/>
        </w:rPr>
        <w:t>（本季关键新闻）</w:t>
      </w:r>
    </w:p>
    <w:p w14:paraId="26E5BE3E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 xml:space="preserve">Section 36(b) </w:t>
      </w:r>
      <w:r>
        <w:rPr>
          <w:b/>
          <w:bCs/>
          <w:color w:val="000000"/>
        </w:rPr>
        <w:t>超额收费诉讼</w:t>
      </w:r>
      <w:r>
        <w:rPr>
          <w:b/>
          <w:bCs/>
          <w:color w:val="000000"/>
        </w:rPr>
        <w:t xml:space="preserve"> 6/18 </w:t>
      </w:r>
      <w:r>
        <w:rPr>
          <w:b/>
          <w:bCs/>
          <w:color w:val="000000"/>
        </w:rPr>
        <w:t>立案（</w:t>
      </w:r>
      <w:r>
        <w:rPr>
          <w:b/>
          <w:bCs/>
          <w:color w:val="000000"/>
        </w:rPr>
        <w:t>S.D.N.Y.</w:t>
      </w:r>
      <w:r>
        <w:rPr>
          <w:b/>
          <w:bCs/>
          <w:color w:val="000000"/>
        </w:rPr>
        <w:t>）</w:t>
      </w:r>
      <w:r>
        <w:rPr>
          <w:color w:val="000000"/>
        </w:rPr>
        <w:t>：指控顾问费</w:t>
      </w:r>
      <w:r>
        <w:rPr>
          <w:color w:val="000000"/>
        </w:rPr>
        <w:t xml:space="preserve"> 2021–25 </w:t>
      </w:r>
      <w:r>
        <w:rPr>
          <w:color w:val="000000"/>
        </w:rPr>
        <w:t>年</w:t>
      </w:r>
      <w:r>
        <w:rPr>
          <w:color w:val="000000"/>
        </w:rPr>
        <w:t xml:space="preserve"> +191% </w:t>
      </w:r>
      <w:r>
        <w:rPr>
          <w:color w:val="000000"/>
        </w:rPr>
        <w:t>对资产</w:t>
      </w:r>
      <w:r>
        <w:rPr>
          <w:color w:val="000000"/>
        </w:rPr>
        <w:t xml:space="preserve"> +134%</w:t>
      </w:r>
      <w:r>
        <w:rPr>
          <w:color w:val="000000"/>
        </w:rPr>
        <w:t>，且对</w:t>
      </w:r>
      <w:r>
        <w:rPr>
          <w:color w:val="000000"/>
        </w:rPr>
        <w:t xml:space="preserve"> ~$43mm PIK </w:t>
      </w:r>
      <w:r>
        <w:rPr>
          <w:color w:val="000000"/>
        </w:rPr>
        <w:t>应计（约</w:t>
      </w:r>
      <w:r>
        <w:rPr>
          <w:color w:val="000000"/>
        </w:rPr>
        <w:t xml:space="preserve"> NII </w:t>
      </w:r>
      <w:r>
        <w:rPr>
          <w:color w:val="000000"/>
        </w:rPr>
        <w:t>的</w:t>
      </w:r>
      <w:r>
        <w:rPr>
          <w:color w:val="000000"/>
        </w:rPr>
        <w:t xml:space="preserve"> 25%</w:t>
      </w:r>
      <w:r>
        <w:rPr>
          <w:color w:val="000000"/>
        </w:rPr>
        <w:t>）计费。历史上</w:t>
      </w:r>
      <w:r>
        <w:rPr>
          <w:color w:val="000000"/>
        </w:rPr>
        <w:t xml:space="preserve"> 36(b) </w:t>
      </w:r>
      <w:r>
        <w:rPr>
          <w:color w:val="000000"/>
        </w:rPr>
        <w:t>原告从未胜诉，短期经济影响有限，但带来</w:t>
      </w:r>
      <w:r>
        <w:rPr>
          <w:color w:val="000000"/>
        </w:rPr>
        <w:t xml:space="preserve"> Level-3 </w:t>
      </w:r>
      <w:r>
        <w:rPr>
          <w:color w:val="000000"/>
        </w:rPr>
        <w:t>估值取证风险。</w:t>
      </w:r>
    </w:p>
    <w:p w14:paraId="56C0171B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 xml:space="preserve">Q2 </w:t>
      </w:r>
      <w:r>
        <w:rPr>
          <w:b/>
          <w:bCs/>
          <w:color w:val="000000"/>
        </w:rPr>
        <w:t>业绩（</w:t>
      </w:r>
      <w:r>
        <w:rPr>
          <w:b/>
          <w:bCs/>
          <w:color w:val="000000"/>
        </w:rPr>
        <w:t>8/5</w:t>
      </w:r>
      <w:r>
        <w:rPr>
          <w:b/>
          <w:bCs/>
          <w:color w:val="000000"/>
        </w:rPr>
        <w:t>）</w:t>
      </w:r>
      <w:r>
        <w:rPr>
          <w:color w:val="000000"/>
        </w:rPr>
        <w:t>：</w:t>
      </w:r>
      <w:r>
        <w:rPr>
          <w:color w:val="000000"/>
        </w:rPr>
        <w:t xml:space="preserve">NAV $16.48 </w:t>
      </w:r>
      <w:r>
        <w:rPr>
          <w:color w:val="000000"/>
        </w:rPr>
        <w:t>持平；</w:t>
      </w:r>
      <w:r>
        <w:rPr>
          <w:color w:val="000000"/>
        </w:rPr>
        <w:t>NII $0.30</w:t>
      </w:r>
      <w:r>
        <w:rPr>
          <w:color w:val="000000"/>
        </w:rPr>
        <w:t>；本季回购</w:t>
      </w:r>
      <w:r>
        <w:rPr>
          <w:color w:val="000000"/>
        </w:rPr>
        <w:t xml:space="preserve"> $55mm</w:t>
      </w:r>
      <w:r>
        <w:rPr>
          <w:color w:val="000000"/>
        </w:rPr>
        <w:t>、三季累计</w:t>
      </w:r>
      <w:r>
        <w:rPr>
          <w:color w:val="000000"/>
        </w:rPr>
        <w:t xml:space="preserve"> ~$170mm</w:t>
      </w:r>
      <w:r>
        <w:rPr>
          <w:color w:val="000000"/>
        </w:rPr>
        <w:t>；股价当日</w:t>
      </w:r>
      <w:r>
        <w:rPr>
          <w:color w:val="000000"/>
        </w:rPr>
        <w:t xml:space="preserve"> +7.4% </w:t>
      </w:r>
      <w:r>
        <w:rPr>
          <w:color w:val="000000"/>
        </w:rPr>
        <w:t>至</w:t>
      </w:r>
      <w:r>
        <w:rPr>
          <w:color w:val="000000"/>
        </w:rPr>
        <w:t xml:space="preserve"> $11.20</w:t>
      </w:r>
      <w:r>
        <w:rPr>
          <w:color w:val="000000"/>
        </w:rPr>
        <w:t>。管理层指出</w:t>
      </w:r>
      <w:r>
        <w:rPr>
          <w:color w:val="000000"/>
        </w:rPr>
        <w:t xml:space="preserve"> 0.7x </w:t>
      </w:r>
      <w:r>
        <w:rPr>
          <w:color w:val="000000"/>
        </w:rPr>
        <w:t>折价隐含约</w:t>
      </w:r>
      <w:r>
        <w:rPr>
          <w:color w:val="000000"/>
        </w:rPr>
        <w:t xml:space="preserve"> 40% </w:t>
      </w:r>
      <w:r>
        <w:rPr>
          <w:color w:val="000000"/>
        </w:rPr>
        <w:t>组合违约率（回收率</w:t>
      </w:r>
      <w:r>
        <w:rPr>
          <w:color w:val="000000"/>
        </w:rPr>
        <w:t xml:space="preserve"> 50 </w:t>
      </w:r>
      <w:r>
        <w:rPr>
          <w:color w:val="000000"/>
        </w:rPr>
        <w:t>美分）。</w:t>
      </w:r>
    </w:p>
    <w:p w14:paraId="224344B2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融资端验证</w:t>
      </w:r>
      <w:r>
        <w:rPr>
          <w:color w:val="000000"/>
        </w:rPr>
        <w:t>：</w:t>
      </w:r>
      <w:r>
        <w:rPr>
          <w:color w:val="000000"/>
        </w:rPr>
        <w:t xml:space="preserve">6 </w:t>
      </w:r>
      <w:r>
        <w:rPr>
          <w:color w:val="000000"/>
        </w:rPr>
        <w:t>月新发</w:t>
      </w:r>
      <w:r>
        <w:rPr>
          <w:color w:val="000000"/>
        </w:rPr>
        <w:t xml:space="preserve"> $500mm 6.50% 2029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月无担保票据（</w:t>
      </w:r>
      <w:r>
        <w:rPr>
          <w:color w:val="000000"/>
        </w:rPr>
        <w:t>KBRA BBB</w:t>
      </w:r>
      <w:r>
        <w:rPr>
          <w:color w:val="000000"/>
        </w:rPr>
        <w:t>）</w:t>
      </w:r>
      <w:r>
        <w:rPr>
          <w:color w:val="000000"/>
        </w:rPr>
        <w:t>——</w:t>
      </w:r>
      <w:r>
        <w:rPr>
          <w:color w:val="000000"/>
        </w:rPr>
        <w:t>板块赎回压力下仍能以</w:t>
      </w:r>
      <w:r>
        <w:rPr>
          <w:color w:val="000000"/>
        </w:rPr>
        <w:t xml:space="preserve"> 6% </w:t>
      </w:r>
      <w:r>
        <w:rPr>
          <w:color w:val="000000"/>
        </w:rPr>
        <w:t>中段票息进入</w:t>
      </w:r>
      <w:r>
        <w:rPr>
          <w:color w:val="000000"/>
        </w:rPr>
        <w:t xml:space="preserve"> IG </w:t>
      </w:r>
      <w:r>
        <w:rPr>
          <w:color w:val="000000"/>
        </w:rPr>
        <w:t>市场。</w:t>
      </w:r>
    </w:p>
    <w:p w14:paraId="09AF2AFF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姊妹基金赎回压力企稳但未解除</w:t>
      </w:r>
      <w:r>
        <w:rPr>
          <w:color w:val="000000"/>
        </w:rPr>
        <w:t>：</w:t>
      </w:r>
      <w:r>
        <w:rPr>
          <w:color w:val="000000"/>
        </w:rPr>
        <w:t xml:space="preserve">OCIC </w:t>
      </w:r>
      <w:r>
        <w:rPr>
          <w:color w:val="000000"/>
        </w:rPr>
        <w:t>申请</w:t>
      </w:r>
      <w:r>
        <w:rPr>
          <w:color w:val="000000"/>
        </w:rPr>
        <w:t xml:space="preserve"> 21.9%→18.8%</w:t>
      </w:r>
      <w:r>
        <w:rPr>
          <w:color w:val="000000"/>
        </w:rPr>
        <w:t>、</w:t>
      </w:r>
      <w:r>
        <w:rPr>
          <w:color w:val="000000"/>
        </w:rPr>
        <w:t>OTIC 40.7%→38.1%</w:t>
      </w:r>
      <w:r>
        <w:rPr>
          <w:color w:val="000000"/>
        </w:rPr>
        <w:t>，合计</w:t>
      </w:r>
      <w:r>
        <w:rPr>
          <w:color w:val="000000"/>
        </w:rPr>
        <w:t xml:space="preserve"> $4.7bn</w:t>
      </w:r>
      <w:r>
        <w:rPr>
          <w:color w:val="000000"/>
        </w:rPr>
        <w:t>（</w:t>
      </w:r>
      <w:r>
        <w:rPr>
          <w:color w:val="000000"/>
        </w:rPr>
        <w:t xml:space="preserve">1Q </w:t>
      </w:r>
      <w:r>
        <w:rPr>
          <w:color w:val="000000"/>
        </w:rPr>
        <w:t>为</w:t>
      </w:r>
      <w:r>
        <w:rPr>
          <w:color w:val="000000"/>
        </w:rPr>
        <w:t xml:space="preserve"> $5.4bn</w:t>
      </w:r>
      <w:r>
        <w:rPr>
          <w:color w:val="000000"/>
        </w:rPr>
        <w:t>），</w:t>
      </w:r>
      <w:r>
        <w:rPr>
          <w:color w:val="000000"/>
        </w:rPr>
        <w:t xml:space="preserve">5% </w:t>
      </w:r>
      <w:r>
        <w:rPr>
          <w:color w:val="000000"/>
        </w:rPr>
        <w:t>上限连续两季触及；</w:t>
      </w:r>
      <w:r>
        <w:rPr>
          <w:color w:val="000000"/>
        </w:rPr>
        <w:t xml:space="preserve">Moody's </w:t>
      </w:r>
      <w:r>
        <w:rPr>
          <w:color w:val="000000"/>
        </w:rPr>
        <w:t>已将</w:t>
      </w:r>
      <w:r>
        <w:rPr>
          <w:color w:val="000000"/>
        </w:rPr>
        <w:t xml:space="preserve"> OCIC </w:t>
      </w:r>
      <w:r>
        <w:rPr>
          <w:color w:val="000000"/>
        </w:rPr>
        <w:t>展望下调至负面（</w:t>
      </w:r>
      <w:r>
        <w:rPr>
          <w:color w:val="000000"/>
        </w:rPr>
        <w:t xml:space="preserve">Baa2 </w:t>
      </w:r>
      <w:r>
        <w:rPr>
          <w:color w:val="000000"/>
        </w:rPr>
        <w:t>维持）。</w:t>
      </w:r>
    </w:p>
    <w:p w14:paraId="2011334F" w14:textId="77777777" w:rsidR="00CB3162" w:rsidRDefault="005A337A">
      <w:pPr>
        <w:spacing w:after="36" w:line="236" w:lineRule="auto"/>
        <w:ind w:left="200" w:hanging="200"/>
        <w:rPr>
          <w:color w:val="000000"/>
        </w:rPr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行业损失开始兑现</w:t>
      </w:r>
      <w:r>
        <w:rPr>
          <w:color w:val="000000"/>
        </w:rPr>
        <w:t>：</w:t>
      </w:r>
      <w:r>
        <w:rPr>
          <w:color w:val="000000"/>
        </w:rPr>
        <w:t xml:space="preserve">Medallia </w:t>
      </w:r>
      <w:r>
        <w:rPr>
          <w:color w:val="000000"/>
        </w:rPr>
        <w:t>移交贷款人（</w:t>
      </w:r>
      <w:r>
        <w:rPr>
          <w:color w:val="000000"/>
        </w:rPr>
        <w:t xml:space="preserve">$5.1bn </w:t>
      </w:r>
      <w:r>
        <w:rPr>
          <w:color w:val="000000"/>
        </w:rPr>
        <w:t>股权清零，此前</w:t>
      </w:r>
      <w:r>
        <w:rPr>
          <w:color w:val="000000"/>
        </w:rPr>
        <w:t xml:space="preserve"> BDC </w:t>
      </w:r>
      <w:r>
        <w:rPr>
          <w:color w:val="000000"/>
        </w:rPr>
        <w:t>估值</w:t>
      </w:r>
      <w:r>
        <w:rPr>
          <w:color w:val="000000"/>
        </w:rPr>
        <w:t xml:space="preserve"> 74–79 </w:t>
      </w:r>
      <w:r>
        <w:rPr>
          <w:color w:val="000000"/>
        </w:rPr>
        <w:t>美分）；</w:t>
      </w:r>
      <w:r>
        <w:rPr>
          <w:color w:val="000000"/>
        </w:rPr>
        <w:t xml:space="preserve">Affordable Care $1.4bn </w:t>
      </w:r>
      <w:r>
        <w:rPr>
          <w:color w:val="000000"/>
        </w:rPr>
        <w:t>违约；</w:t>
      </w:r>
      <w:r>
        <w:rPr>
          <w:color w:val="000000"/>
        </w:rPr>
        <w:t xml:space="preserve">KKR </w:t>
      </w:r>
      <w:r>
        <w:rPr>
          <w:color w:val="000000"/>
        </w:rPr>
        <w:t>向</w:t>
      </w:r>
      <w:r>
        <w:rPr>
          <w:color w:val="000000"/>
        </w:rPr>
        <w:t xml:space="preserve"> FS KKR </w:t>
      </w:r>
      <w:r>
        <w:rPr>
          <w:color w:val="000000"/>
        </w:rPr>
        <w:t>注资</w:t>
      </w:r>
      <w:r>
        <w:rPr>
          <w:color w:val="000000"/>
        </w:rPr>
        <w:t xml:space="preserve"> $300mm </w:t>
      </w:r>
      <w:r>
        <w:rPr>
          <w:color w:val="000000"/>
        </w:rPr>
        <w:t>开创发起人兜底模板。</w:t>
      </w:r>
    </w:p>
    <w:p w14:paraId="526737FB" w14:textId="77777777" w:rsidR="00A42AA7" w:rsidRPr="00A42AA7" w:rsidRDefault="00A42AA7">
      <w:pPr>
        <w:spacing w:after="36" w:line="236" w:lineRule="auto"/>
        <w:ind w:left="200" w:hanging="200"/>
        <w:rPr>
          <w:sz w:val="14"/>
          <w:szCs w:val="14"/>
        </w:rPr>
      </w:pPr>
    </w:p>
    <w:p w14:paraId="4EEA19CB" w14:textId="77777777" w:rsidR="00CB3162" w:rsidRDefault="005A337A">
      <w:pPr>
        <w:spacing w:before="44" w:after="34" w:line="236" w:lineRule="auto"/>
      </w:pPr>
      <w:r>
        <w:rPr>
          <w:b/>
          <w:bCs/>
          <w:color w:val="1F3B5B"/>
          <w:sz w:val="22"/>
          <w:szCs w:val="22"/>
        </w:rPr>
        <w:t>2. Market Trend</w:t>
      </w:r>
      <w:r>
        <w:rPr>
          <w:b/>
          <w:bCs/>
          <w:color w:val="1F3B5B"/>
          <w:sz w:val="22"/>
          <w:szCs w:val="22"/>
        </w:rPr>
        <w:t>（行业量化趋势）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1701"/>
        <w:gridCol w:w="5147"/>
      </w:tblGrid>
      <w:tr w:rsidR="00CB3162" w14:paraId="28B62EDF" w14:textId="77777777" w:rsidTr="00A42AA7">
        <w:trPr>
          <w:tblHeader/>
        </w:trPr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5EC4E27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行业指标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57ED3A2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读数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D89C0CB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解读</w:t>
            </w:r>
          </w:p>
        </w:tc>
      </w:tr>
      <w:tr w:rsidR="00CB3162" w14:paraId="71BC249F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030F60D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BDC </w:t>
            </w:r>
            <w:r>
              <w:rPr>
                <w:color w:val="000000"/>
                <w:sz w:val="16"/>
                <w:szCs w:val="16"/>
              </w:rPr>
              <w:t>平均非应计（成本，</w:t>
            </w:r>
            <w:r>
              <w:rPr>
                <w:color w:val="000000"/>
                <w:sz w:val="16"/>
                <w:szCs w:val="16"/>
              </w:rPr>
              <w:t xml:space="preserve">MS </w:t>
            </w:r>
            <w:r>
              <w:rPr>
                <w:color w:val="000000"/>
                <w:sz w:val="16"/>
                <w:szCs w:val="16"/>
              </w:rPr>
              <w:t>口径）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15C5725" w14:textId="27F78485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2.8%</w:t>
            </w:r>
            <w:r>
              <w:rPr>
                <w:color w:val="000000"/>
                <w:sz w:val="16"/>
                <w:szCs w:val="16"/>
              </w:rPr>
              <w:t>（五年高</w:t>
            </w:r>
            <w:r w:rsidR="00A42AA7">
              <w:rPr>
                <w:rFonts w:hint="eastAsia"/>
                <w:color w:val="000000"/>
                <w:sz w:val="16"/>
                <w:szCs w:val="16"/>
              </w:rPr>
              <w:t>位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E87FB2F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恶化集中在尾部：</w:t>
            </w:r>
            <w:r>
              <w:rPr>
                <w:color w:val="000000"/>
                <w:sz w:val="16"/>
                <w:szCs w:val="16"/>
              </w:rPr>
              <w:t xml:space="preserve">&gt;8% </w:t>
            </w:r>
            <w:r>
              <w:rPr>
                <w:color w:val="000000"/>
                <w:sz w:val="16"/>
                <w:szCs w:val="16"/>
              </w:rPr>
              <w:t>的</w:t>
            </w:r>
            <w:r>
              <w:rPr>
                <w:color w:val="000000"/>
                <w:sz w:val="16"/>
                <w:szCs w:val="16"/>
              </w:rPr>
              <w:t xml:space="preserve"> BDC </w:t>
            </w:r>
            <w:r>
              <w:rPr>
                <w:color w:val="000000"/>
                <w:sz w:val="16"/>
                <w:szCs w:val="16"/>
              </w:rPr>
              <w:t>占比</w:t>
            </w:r>
            <w:r>
              <w:rPr>
                <w:color w:val="000000"/>
                <w:sz w:val="16"/>
                <w:szCs w:val="16"/>
              </w:rPr>
              <w:t xml:space="preserve"> 8%→11%</w:t>
            </w:r>
          </w:p>
        </w:tc>
      </w:tr>
      <w:tr w:rsidR="00CB3162" w14:paraId="441E5C78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9D5CCFD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JPM 29 </w:t>
            </w:r>
            <w:r>
              <w:rPr>
                <w:color w:val="000000"/>
                <w:sz w:val="16"/>
                <w:szCs w:val="16"/>
              </w:rPr>
              <w:t>家</w:t>
            </w:r>
            <w:r>
              <w:rPr>
                <w:color w:val="000000"/>
                <w:sz w:val="16"/>
                <w:szCs w:val="16"/>
              </w:rPr>
              <w:t xml:space="preserve"> BDC </w:t>
            </w:r>
            <w:r>
              <w:rPr>
                <w:color w:val="000000"/>
                <w:sz w:val="16"/>
                <w:szCs w:val="16"/>
              </w:rPr>
              <w:t>非应计（成本）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A25EF08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2.46%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+40bp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C50000B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NAV </w:t>
            </w:r>
            <w:r>
              <w:rPr>
                <w:color w:val="000000"/>
                <w:sz w:val="16"/>
                <w:szCs w:val="16"/>
              </w:rPr>
              <w:t>平均</w:t>
            </w:r>
            <w:r>
              <w:rPr>
                <w:color w:val="000000"/>
                <w:sz w:val="16"/>
                <w:szCs w:val="16"/>
              </w:rPr>
              <w:t xml:space="preserve"> −3.25%</w:t>
            </w:r>
            <w:r>
              <w:rPr>
                <w:color w:val="000000"/>
                <w:sz w:val="16"/>
                <w:szCs w:val="16"/>
              </w:rPr>
              <w:t>，</w:t>
            </w:r>
            <w:r>
              <w:rPr>
                <w:color w:val="000000"/>
                <w:sz w:val="16"/>
                <w:szCs w:val="16"/>
              </w:rPr>
              <w:t xml:space="preserve">29 </w:t>
            </w:r>
            <w:r>
              <w:rPr>
                <w:color w:val="000000"/>
                <w:sz w:val="16"/>
                <w:szCs w:val="16"/>
              </w:rPr>
              <w:t>家中</w:t>
            </w:r>
            <w:r>
              <w:rPr>
                <w:color w:val="000000"/>
                <w:sz w:val="16"/>
                <w:szCs w:val="16"/>
              </w:rPr>
              <w:t xml:space="preserve"> 28 </w:t>
            </w:r>
            <w:r>
              <w:rPr>
                <w:color w:val="000000"/>
                <w:sz w:val="16"/>
                <w:szCs w:val="16"/>
              </w:rPr>
              <w:t>家下跌</w:t>
            </w:r>
          </w:p>
        </w:tc>
      </w:tr>
      <w:tr w:rsidR="00CB3162" w14:paraId="3FDCB03E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BCE4374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BDC </w:t>
            </w:r>
            <w:r>
              <w:rPr>
                <w:color w:val="000000"/>
                <w:sz w:val="16"/>
                <w:szCs w:val="16"/>
              </w:rPr>
              <w:t>指数利差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2FEAD82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290bp→~217bp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F530B13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已回落至</w:t>
            </w:r>
            <w:r>
              <w:rPr>
                <w:color w:val="000000"/>
                <w:sz w:val="16"/>
                <w:szCs w:val="16"/>
              </w:rPr>
              <w:t xml:space="preserve"> 2025 </w:t>
            </w:r>
            <w:r>
              <w:rPr>
                <w:color w:val="000000"/>
                <w:sz w:val="16"/>
                <w:szCs w:val="16"/>
              </w:rPr>
              <w:t>年均值</w:t>
            </w:r>
            <w:r>
              <w:rPr>
                <w:color w:val="000000"/>
                <w:sz w:val="16"/>
                <w:szCs w:val="16"/>
              </w:rPr>
              <w:t xml:space="preserve"> +8bp</w:t>
            </w:r>
            <w:r>
              <w:rPr>
                <w:color w:val="000000"/>
                <w:sz w:val="16"/>
                <w:szCs w:val="16"/>
              </w:rPr>
              <w:t>；</w:t>
            </w:r>
            <w:r>
              <w:rPr>
                <w:color w:val="000000"/>
                <w:sz w:val="16"/>
                <w:szCs w:val="16"/>
              </w:rPr>
              <w:t xml:space="preserve">JPM </w:t>
            </w:r>
            <w:r>
              <w:rPr>
                <w:color w:val="000000"/>
                <w:sz w:val="16"/>
                <w:szCs w:val="16"/>
              </w:rPr>
              <w:t>信用团队转超配、股票团队仍谨慎</w:t>
            </w:r>
            <w:r>
              <w:rPr>
                <w:color w:val="000000"/>
                <w:sz w:val="16"/>
                <w:szCs w:val="16"/>
              </w:rPr>
              <w:t>——</w:t>
            </w:r>
            <w:r>
              <w:rPr>
                <w:color w:val="000000"/>
                <w:sz w:val="16"/>
                <w:szCs w:val="16"/>
              </w:rPr>
              <w:t>债股分歧是当前最大分歧</w:t>
            </w:r>
          </w:p>
        </w:tc>
      </w:tr>
      <w:tr w:rsidR="00CB3162" w14:paraId="7134096F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0621A49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行业</w:t>
            </w:r>
            <w:r>
              <w:rPr>
                <w:color w:val="000000"/>
                <w:sz w:val="16"/>
                <w:szCs w:val="16"/>
              </w:rPr>
              <w:t xml:space="preserve"> PIK</w:t>
            </w:r>
            <w:r>
              <w:rPr>
                <w:color w:val="000000"/>
                <w:sz w:val="16"/>
                <w:szCs w:val="16"/>
              </w:rPr>
              <w:t>（占总收益</w:t>
            </w:r>
            <w:r>
              <w:rPr>
                <w:color w:val="000000"/>
                <w:sz w:val="16"/>
                <w:szCs w:val="16"/>
              </w:rPr>
              <w:t xml:space="preserve"> / </w:t>
            </w:r>
            <w:r>
              <w:rPr>
                <w:color w:val="000000"/>
                <w:sz w:val="16"/>
                <w:szCs w:val="16"/>
              </w:rPr>
              <w:t>占净收益）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E971B3E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6.4% / 15.2%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5FCE042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总收益口径持平、净收益口径趋升</w:t>
            </w:r>
            <w:r>
              <w:rPr>
                <w:color w:val="000000"/>
                <w:sz w:val="16"/>
                <w:szCs w:val="16"/>
              </w:rPr>
              <w:t>——</w:t>
            </w:r>
            <w:r>
              <w:rPr>
                <w:color w:val="000000"/>
                <w:sz w:val="16"/>
                <w:szCs w:val="16"/>
              </w:rPr>
              <w:t>分红质量在被静默侵蚀</w:t>
            </w:r>
          </w:p>
        </w:tc>
      </w:tr>
      <w:tr w:rsidR="00CB3162" w14:paraId="102A9C9D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45ACFC5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软件借款人杠杆中位（</w:t>
            </w:r>
            <w:r>
              <w:rPr>
                <w:color w:val="000000"/>
                <w:sz w:val="16"/>
                <w:szCs w:val="16"/>
              </w:rPr>
              <w:t xml:space="preserve">vs </w:t>
            </w:r>
            <w:r>
              <w:rPr>
                <w:color w:val="000000"/>
                <w:sz w:val="16"/>
                <w:szCs w:val="16"/>
              </w:rPr>
              <w:t>全行业）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AE1C0DC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8.3x vs 7.0x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1B0A159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行业压力恰好集中在</w:t>
            </w:r>
            <w:r>
              <w:rPr>
                <w:color w:val="000000"/>
                <w:sz w:val="16"/>
                <w:szCs w:val="16"/>
              </w:rPr>
              <w:t xml:space="preserve"> OTF </w:t>
            </w:r>
            <w:r>
              <w:rPr>
                <w:color w:val="000000"/>
                <w:sz w:val="16"/>
                <w:szCs w:val="16"/>
              </w:rPr>
              <w:t>的主赛道</w:t>
            </w:r>
          </w:p>
        </w:tc>
      </w:tr>
      <w:tr w:rsidR="00CB3162" w14:paraId="217E7713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DC6FF3D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2028 </w:t>
            </w:r>
            <w:r>
              <w:rPr>
                <w:color w:val="000000"/>
                <w:sz w:val="16"/>
                <w:szCs w:val="16"/>
              </w:rPr>
              <w:t>年前到期美元软件贷款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63A9695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$98bn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29%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0AFC0A5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50% </w:t>
            </w:r>
            <w:r>
              <w:rPr>
                <w:color w:val="000000"/>
                <w:sz w:val="16"/>
                <w:szCs w:val="16"/>
              </w:rPr>
              <w:t>评级</w:t>
            </w:r>
            <w:r>
              <w:rPr>
                <w:color w:val="000000"/>
                <w:sz w:val="16"/>
                <w:szCs w:val="16"/>
              </w:rPr>
              <w:t xml:space="preserve"> ≤B−</w:t>
            </w:r>
            <w:r>
              <w:rPr>
                <w:color w:val="000000"/>
                <w:sz w:val="16"/>
                <w:szCs w:val="16"/>
              </w:rPr>
              <w:t>；四家券商共同盯的催化剂是到期墙而非当期违约</w:t>
            </w:r>
          </w:p>
        </w:tc>
      </w:tr>
      <w:tr w:rsidR="00CB3162" w14:paraId="21B10C2F" w14:textId="77777777" w:rsidTr="00A42AA7">
        <w:tc>
          <w:tcPr>
            <w:tcW w:w="339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BAAD492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借款人利息覆盖（</w:t>
            </w:r>
            <w:r>
              <w:rPr>
                <w:color w:val="000000"/>
                <w:sz w:val="16"/>
                <w:szCs w:val="16"/>
              </w:rPr>
              <w:t xml:space="preserve">Fitch </w:t>
            </w:r>
            <w:r>
              <w:rPr>
                <w:color w:val="000000"/>
                <w:sz w:val="16"/>
                <w:szCs w:val="16"/>
              </w:rPr>
              <w:t>中位）</w:t>
            </w:r>
          </w:p>
        </w:tc>
        <w:tc>
          <w:tcPr>
            <w:tcW w:w="170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3A98F26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1.99x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+0.10x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5147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AE581CB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改善由降息驱动、可逆</w:t>
            </w:r>
            <w:r>
              <w:rPr>
                <w:color w:val="000000"/>
                <w:sz w:val="16"/>
                <w:szCs w:val="16"/>
              </w:rPr>
              <w:t>——</w:t>
            </w:r>
            <w:r>
              <w:rPr>
                <w:color w:val="000000"/>
                <w:sz w:val="16"/>
                <w:szCs w:val="16"/>
              </w:rPr>
              <w:t>修复借款人覆盖率的利率路径同时侵蚀</w:t>
            </w:r>
            <w:r>
              <w:rPr>
                <w:color w:val="000000"/>
                <w:sz w:val="16"/>
                <w:szCs w:val="16"/>
              </w:rPr>
              <w:t xml:space="preserve"> OTF </w:t>
            </w:r>
            <w:r>
              <w:rPr>
                <w:color w:val="000000"/>
                <w:sz w:val="16"/>
                <w:szCs w:val="16"/>
              </w:rPr>
              <w:t>资产收益率</w:t>
            </w:r>
          </w:p>
        </w:tc>
      </w:tr>
    </w:tbl>
    <w:p w14:paraId="202D2CD6" w14:textId="77777777" w:rsidR="00CB3162" w:rsidRDefault="005A337A">
      <w:pPr>
        <w:spacing w:before="30" w:after="60" w:line="236" w:lineRule="auto"/>
      </w:pPr>
      <w:r>
        <w:rPr>
          <w:i/>
          <w:iCs/>
          <w:color w:val="5A6B7B"/>
          <w:sz w:val="13"/>
          <w:szCs w:val="13"/>
        </w:rPr>
        <w:t>资料来源：</w:t>
      </w:r>
      <w:r>
        <w:rPr>
          <w:i/>
          <w:iCs/>
          <w:color w:val="5A6B7B"/>
          <w:sz w:val="13"/>
          <w:szCs w:val="13"/>
        </w:rPr>
        <w:t xml:space="preserve">JPM / Morgan Stanley / Goldman Sachs / BofA 2026 </w:t>
      </w:r>
      <w:r>
        <w:rPr>
          <w:i/>
          <w:iCs/>
          <w:color w:val="5A6B7B"/>
          <w:sz w:val="13"/>
          <w:szCs w:val="13"/>
        </w:rPr>
        <w:t>年</w:t>
      </w:r>
      <w:r>
        <w:rPr>
          <w:i/>
          <w:iCs/>
          <w:color w:val="5A6B7B"/>
          <w:sz w:val="13"/>
          <w:szCs w:val="13"/>
        </w:rPr>
        <w:t xml:space="preserve"> 4–7 </w:t>
      </w:r>
      <w:r>
        <w:rPr>
          <w:i/>
          <w:iCs/>
          <w:color w:val="5A6B7B"/>
          <w:sz w:val="13"/>
          <w:szCs w:val="13"/>
        </w:rPr>
        <w:t>月研报（存档</w:t>
      </w:r>
      <w:r>
        <w:rPr>
          <w:i/>
          <w:iCs/>
          <w:color w:val="5A6B7B"/>
          <w:sz w:val="13"/>
          <w:szCs w:val="13"/>
        </w:rPr>
        <w:t xml:space="preserve"> 11 </w:t>
      </w:r>
      <w:r>
        <w:rPr>
          <w:i/>
          <w:iCs/>
          <w:color w:val="5A6B7B"/>
          <w:sz w:val="13"/>
          <w:szCs w:val="13"/>
        </w:rPr>
        <w:t>份）；</w:t>
      </w:r>
      <w:r>
        <w:rPr>
          <w:i/>
          <w:iCs/>
          <w:color w:val="5A6B7B"/>
          <w:sz w:val="13"/>
          <w:szCs w:val="13"/>
        </w:rPr>
        <w:t>Fitch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Lincoln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 xml:space="preserve">S&amp;P </w:t>
      </w:r>
      <w:r>
        <w:rPr>
          <w:i/>
          <w:iCs/>
          <w:color w:val="5A6B7B"/>
          <w:sz w:val="13"/>
          <w:szCs w:val="13"/>
        </w:rPr>
        <w:t>信用估计样本。</w:t>
      </w:r>
    </w:p>
    <w:p w14:paraId="001DC558" w14:textId="77777777" w:rsidR="00CB3162" w:rsidRDefault="005A337A">
      <w:pPr>
        <w:spacing w:before="30" w:after="10"/>
        <w:jc w:val="center"/>
      </w:pPr>
      <w:r>
        <w:rPr>
          <w:noProof/>
        </w:rPr>
        <w:drawing>
          <wp:inline distT="0" distB="0" distL="0" distR="0" wp14:anchorId="2F47C736" wp14:editId="303F5B65">
            <wp:extent cx="3348062" cy="1964661"/>
            <wp:effectExtent l="0" t="0" r="5080" b="0"/>
            <wp:docPr id="68596941" name="Picture 68596941">
              <a:extLst xmlns:a="http://schemas.openxmlformats.org/drawingml/2006/main">
                <a:ext uri="{FF2B5EF4-FFF2-40B4-BE49-F238E27FC236}">
                  <a16:creationId xmlns:a16="http://schemas.microsoft.com/office/drawing/2014/main" id="{A5E25D50-CD84-48A0-A644-65812109D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58" cy="197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</w:rPr>
        <w:drawing>
          <wp:inline distT="0" distB="0" distL="0" distR="0" wp14:anchorId="229853C2" wp14:editId="197F3280">
            <wp:extent cx="3014133" cy="1967559"/>
            <wp:effectExtent l="0" t="0" r="0" b="0"/>
            <wp:docPr id="1746936716" name="Picture 1746936716">
              <a:extLst xmlns:a="http://schemas.openxmlformats.org/drawingml/2006/main">
                <a:ext uri="{FF2B5EF4-FFF2-40B4-BE49-F238E27FC236}">
                  <a16:creationId xmlns:a16="http://schemas.microsoft.com/office/drawing/2014/main" id="{883BCEE4-4F64-4A7F-BEBF-5B3D6BA6E8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243" cy="19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BE8" w14:textId="77777777" w:rsidR="00CB3162" w:rsidRDefault="005A337A">
      <w:pPr>
        <w:spacing w:after="50" w:line="236" w:lineRule="auto"/>
        <w:jc w:val="center"/>
      </w:pPr>
      <w:r>
        <w:rPr>
          <w:i/>
          <w:iCs/>
          <w:color w:val="5A6B7B"/>
          <w:sz w:val="13"/>
          <w:szCs w:val="13"/>
        </w:rPr>
        <w:t>左：</w:t>
      </w:r>
      <w:r>
        <w:rPr>
          <w:i/>
          <w:iCs/>
          <w:color w:val="5A6B7B"/>
          <w:sz w:val="13"/>
          <w:szCs w:val="13"/>
        </w:rPr>
        <w:t xml:space="preserve">BDC </w:t>
      </w:r>
      <w:r>
        <w:rPr>
          <w:i/>
          <w:iCs/>
          <w:color w:val="5A6B7B"/>
          <w:sz w:val="13"/>
          <w:szCs w:val="13"/>
        </w:rPr>
        <w:t>行业非应计率升至五年高位，且尾部（</w:t>
      </w:r>
      <w:r>
        <w:rPr>
          <w:i/>
          <w:iCs/>
          <w:color w:val="5A6B7B"/>
          <w:sz w:val="13"/>
          <w:szCs w:val="13"/>
        </w:rPr>
        <w:t xml:space="preserve">&gt;8% </w:t>
      </w:r>
      <w:r>
        <w:rPr>
          <w:i/>
          <w:iCs/>
          <w:color w:val="5A6B7B"/>
          <w:sz w:val="13"/>
          <w:szCs w:val="13"/>
        </w:rPr>
        <w:t>的占比）跳升快于均值；右：上市以来股价对比</w:t>
      </w:r>
      <w:r>
        <w:rPr>
          <w:i/>
          <w:iCs/>
          <w:color w:val="5A6B7B"/>
          <w:sz w:val="13"/>
          <w:szCs w:val="13"/>
        </w:rPr>
        <w:t xml:space="preserve"> — OTF −30.8% </w:t>
      </w:r>
      <w:r>
        <w:rPr>
          <w:i/>
          <w:iCs/>
          <w:color w:val="5A6B7B"/>
          <w:sz w:val="13"/>
          <w:szCs w:val="13"/>
        </w:rPr>
        <w:t>为</w:t>
      </w:r>
      <w:r>
        <w:rPr>
          <w:i/>
          <w:iCs/>
          <w:color w:val="5A6B7B"/>
          <w:sz w:val="13"/>
          <w:szCs w:val="13"/>
        </w:rPr>
        <w:t xml:space="preserve"> BDC </w:t>
      </w:r>
      <w:r>
        <w:rPr>
          <w:i/>
          <w:iCs/>
          <w:color w:val="5A6B7B"/>
          <w:sz w:val="13"/>
          <w:szCs w:val="13"/>
        </w:rPr>
        <w:t>组合最差，是</w:t>
      </w:r>
      <w:r>
        <w:rPr>
          <w:i/>
          <w:iCs/>
          <w:color w:val="5A6B7B"/>
          <w:sz w:val="13"/>
          <w:szCs w:val="13"/>
        </w:rPr>
        <w:t xml:space="preserve"> 0.70x </w:t>
      </w:r>
      <w:r>
        <w:rPr>
          <w:i/>
          <w:iCs/>
          <w:color w:val="5A6B7B"/>
          <w:sz w:val="13"/>
          <w:szCs w:val="13"/>
        </w:rPr>
        <w:t>折价的直观来源。</w:t>
      </w:r>
    </w:p>
    <w:p w14:paraId="36C50F5C" w14:textId="77777777" w:rsidR="00A42AA7" w:rsidRPr="00A42AA7" w:rsidRDefault="00A42AA7">
      <w:pPr>
        <w:spacing w:before="44" w:after="34" w:line="236" w:lineRule="auto"/>
        <w:rPr>
          <w:b/>
          <w:bCs/>
          <w:color w:val="1F3B5B"/>
          <w:sz w:val="14"/>
          <w:szCs w:val="14"/>
        </w:rPr>
      </w:pPr>
    </w:p>
    <w:p w14:paraId="56C059D4" w14:textId="64C3634B" w:rsidR="00CB3162" w:rsidRDefault="005A337A">
      <w:pPr>
        <w:spacing w:before="44" w:after="34" w:line="236" w:lineRule="auto"/>
      </w:pPr>
      <w:r>
        <w:rPr>
          <w:b/>
          <w:bCs/>
          <w:color w:val="1F3B5B"/>
          <w:sz w:val="22"/>
          <w:szCs w:val="22"/>
        </w:rPr>
        <w:t>3. Impact on Our Portfolio</w:t>
      </w:r>
      <w:r>
        <w:rPr>
          <w:b/>
          <w:bCs/>
          <w:color w:val="1F3B5B"/>
          <w:sz w:val="22"/>
          <w:szCs w:val="22"/>
        </w:rPr>
        <w:t>（对持仓的传导）</w:t>
      </w:r>
    </w:p>
    <w:p w14:paraId="2C430B37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传导渠道是估值而非违约</w:t>
      </w:r>
      <w:r>
        <w:rPr>
          <w:color w:val="000000"/>
        </w:rPr>
        <w:t>：</w:t>
      </w:r>
      <w:r>
        <w:rPr>
          <w:color w:val="000000"/>
        </w:rPr>
        <w:t xml:space="preserve">OTF </w:t>
      </w:r>
      <w:r>
        <w:rPr>
          <w:color w:val="000000"/>
        </w:rPr>
        <w:t>约</w:t>
      </w:r>
      <w:r>
        <w:rPr>
          <w:color w:val="000000"/>
        </w:rPr>
        <w:t xml:space="preserve"> 48% </w:t>
      </w:r>
      <w:r>
        <w:rPr>
          <w:color w:val="000000"/>
        </w:rPr>
        <w:t>公允值坐落在行业信用迁移最重的两个终端市场（软件</w:t>
      </w:r>
      <w:r>
        <w:rPr>
          <w:color w:val="000000"/>
        </w:rPr>
        <w:t xml:space="preserve"> 32.8% + </w:t>
      </w:r>
      <w:r>
        <w:rPr>
          <w:color w:val="000000"/>
        </w:rPr>
        <w:t>医疗科技</w:t>
      </w:r>
      <w:r>
        <w:rPr>
          <w:color w:val="000000"/>
        </w:rPr>
        <w:t xml:space="preserve"> 12.4% + </w:t>
      </w:r>
      <w:r>
        <w:rPr>
          <w:color w:val="000000"/>
        </w:rPr>
        <w:t>医疗服务</w:t>
      </w:r>
      <w:r>
        <w:rPr>
          <w:color w:val="000000"/>
        </w:rPr>
        <w:t xml:space="preserve"> 2.9%</w:t>
      </w:r>
      <w:r>
        <w:rPr>
          <w:color w:val="000000"/>
        </w:rPr>
        <w:t>）。行业软件利差走阔会先重定价</w:t>
      </w:r>
      <w:r>
        <w:rPr>
          <w:color w:val="000000"/>
        </w:rPr>
        <w:t xml:space="preserve"> OTF </w:t>
      </w:r>
      <w:r>
        <w:rPr>
          <w:color w:val="000000"/>
        </w:rPr>
        <w:t>的</w:t>
      </w:r>
      <w:r>
        <w:rPr>
          <w:color w:val="000000"/>
        </w:rPr>
        <w:t xml:space="preserve"> Level-3 </w:t>
      </w:r>
      <w:r>
        <w:rPr>
          <w:color w:val="000000"/>
        </w:rPr>
        <w:t>估值与股价折价</w:t>
      </w:r>
      <w:r>
        <w:rPr>
          <w:color w:val="000000"/>
        </w:rPr>
        <w:t>——</w:t>
      </w:r>
      <w:r>
        <w:rPr>
          <w:color w:val="000000"/>
        </w:rPr>
        <w:t>上季</w:t>
      </w:r>
      <w:r>
        <w:rPr>
          <w:color w:val="000000"/>
        </w:rPr>
        <w:t xml:space="preserve"> $0.84 </w:t>
      </w:r>
      <w:r>
        <w:rPr>
          <w:color w:val="000000"/>
        </w:rPr>
        <w:t>的</w:t>
      </w:r>
      <w:r>
        <w:rPr>
          <w:color w:val="000000"/>
        </w:rPr>
        <w:t xml:space="preserve"> NAV </w:t>
      </w:r>
      <w:r>
        <w:rPr>
          <w:color w:val="000000"/>
        </w:rPr>
        <w:t>减记即为利差驱动，本季已部分回补（</w:t>
      </w:r>
      <w:r>
        <w:rPr>
          <w:color w:val="000000"/>
        </w:rPr>
        <w:t>+$0.03</w:t>
      </w:r>
      <w:r>
        <w:rPr>
          <w:color w:val="000000"/>
        </w:rPr>
        <w:t>）。</w:t>
      </w:r>
    </w:p>
    <w:p w14:paraId="231209EF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 xml:space="preserve">OTF </w:t>
      </w:r>
      <w:r>
        <w:rPr>
          <w:b/>
          <w:bCs/>
          <w:color w:val="000000"/>
        </w:rPr>
        <w:t>自身数据仍是反证</w:t>
      </w:r>
      <w:r>
        <w:rPr>
          <w:color w:val="000000"/>
        </w:rPr>
        <w:t>：借款人加权</w:t>
      </w:r>
      <w:r>
        <w:rPr>
          <w:color w:val="000000"/>
        </w:rPr>
        <w:t xml:space="preserve"> EBITDA $291mm</w:t>
      </w:r>
      <w:r>
        <w:rPr>
          <w:color w:val="000000"/>
        </w:rPr>
        <w:t>（环比</w:t>
      </w:r>
      <w:r>
        <w:rPr>
          <w:color w:val="000000"/>
        </w:rPr>
        <w:t xml:space="preserve"> +2.1%</w:t>
      </w:r>
      <w:r>
        <w:rPr>
          <w:color w:val="000000"/>
        </w:rPr>
        <w:t>、同比</w:t>
      </w:r>
      <w:r>
        <w:rPr>
          <w:color w:val="000000"/>
        </w:rPr>
        <w:t xml:space="preserve"> +15.9%</w:t>
      </w:r>
      <w:r>
        <w:rPr>
          <w:color w:val="000000"/>
        </w:rPr>
        <w:t>）仍在增长；</w:t>
      </w:r>
      <w:r>
        <w:rPr>
          <w:color w:val="000000"/>
        </w:rPr>
        <w:t xml:space="preserve">PIK </w:t>
      </w:r>
      <w:r>
        <w:rPr>
          <w:color w:val="000000"/>
        </w:rPr>
        <w:t>连续两季下降；非应计公允值口径</w:t>
      </w:r>
      <w:r>
        <w:rPr>
          <w:color w:val="000000"/>
        </w:rPr>
        <w:t xml:space="preserve"> 0.1%</w:t>
      </w:r>
      <w:r>
        <w:rPr>
          <w:color w:val="000000"/>
        </w:rPr>
        <w:t>，比</w:t>
      </w:r>
      <w:r>
        <w:rPr>
          <w:color w:val="000000"/>
        </w:rPr>
        <w:t xml:space="preserve"> 2.8% </w:t>
      </w:r>
      <w:r>
        <w:rPr>
          <w:color w:val="000000"/>
        </w:rPr>
        <w:t>的行业平均低一个数量级。但</w:t>
      </w:r>
      <w:r>
        <w:rPr>
          <w:color w:val="000000"/>
        </w:rPr>
        <w:t xml:space="preserve"> EBITDA </w:t>
      </w:r>
      <w:r>
        <w:rPr>
          <w:color w:val="000000"/>
        </w:rPr>
        <w:t>增量中</w:t>
      </w:r>
      <w:r>
        <w:rPr>
          <w:color w:val="000000"/>
        </w:rPr>
        <w:t xml:space="preserve"> $38.7mm </w:t>
      </w:r>
      <w:r>
        <w:rPr>
          <w:color w:val="000000"/>
        </w:rPr>
        <w:t>来自</w:t>
      </w:r>
      <w:r>
        <w:rPr>
          <w:color w:val="000000"/>
        </w:rPr>
        <w:t xml:space="preserve"> 4Q25 </w:t>
      </w:r>
      <w:r>
        <w:rPr>
          <w:color w:val="000000"/>
        </w:rPr>
        <w:t>前的合并效应，近两季仅</w:t>
      </w:r>
      <w:r>
        <w:rPr>
          <w:color w:val="000000"/>
        </w:rPr>
        <w:t xml:space="preserve"> +$1.2mm——</w:t>
      </w:r>
      <w:r>
        <w:rPr>
          <w:color w:val="000000"/>
        </w:rPr>
        <w:t>增长在放缓，尚未转跌。</w:t>
      </w:r>
    </w:p>
    <w:p w14:paraId="0613DE35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需要注意的三个变化</w:t>
      </w:r>
      <w:r>
        <w:rPr>
          <w:color w:val="000000"/>
        </w:rPr>
        <w:t>：净杠杆首次入目标区间（</w:t>
      </w:r>
      <w:r>
        <w:rPr>
          <w:color w:val="000000"/>
        </w:rPr>
        <w:t>0.93x</w:t>
      </w:r>
      <w:r>
        <w:rPr>
          <w:color w:val="000000"/>
        </w:rPr>
        <w:t>，此后增量杠杆按</w:t>
      </w:r>
      <w:r>
        <w:rPr>
          <w:color w:val="000000"/>
        </w:rPr>
        <w:t xml:space="preserve"> 1.00% </w:t>
      </w:r>
      <w:r>
        <w:rPr>
          <w:color w:val="000000"/>
        </w:rPr>
        <w:t>低档管理费计费）；基础分红现金覆盖仅</w:t>
      </w:r>
      <w:r>
        <w:rPr>
          <w:color w:val="000000"/>
        </w:rPr>
        <w:t xml:space="preserve"> 86%</w:t>
      </w:r>
      <w:r>
        <w:rPr>
          <w:color w:val="000000"/>
        </w:rPr>
        <w:t>，派息依赖杠杆抬升；</w:t>
      </w:r>
      <w:r>
        <w:rPr>
          <w:color w:val="000000"/>
        </w:rPr>
        <w:t xml:space="preserve">Q4'26 </w:t>
      </w:r>
      <w:r>
        <w:rPr>
          <w:color w:val="000000"/>
        </w:rPr>
        <w:t>起特别分红结束，股息率</w:t>
      </w:r>
      <w:r>
        <w:rPr>
          <w:color w:val="000000"/>
        </w:rPr>
        <w:t xml:space="preserve"> 14.0%→12.2%</w:t>
      </w:r>
      <w:r>
        <w:rPr>
          <w:color w:val="000000"/>
        </w:rPr>
        <w:t>（</w:t>
      </w:r>
      <w:r>
        <w:rPr>
          <w:color w:val="000000"/>
        </w:rPr>
        <w:t xml:space="preserve">NAV </w:t>
      </w:r>
      <w:r>
        <w:rPr>
          <w:color w:val="000000"/>
        </w:rPr>
        <w:t>口径</w:t>
      </w:r>
      <w:r>
        <w:rPr>
          <w:color w:val="000000"/>
        </w:rPr>
        <w:t xml:space="preserve"> 9.7%→8.5%</w:t>
      </w:r>
      <w:r>
        <w:rPr>
          <w:color w:val="000000"/>
        </w:rPr>
        <w:t>），或引发收益型持有人换仓。</w:t>
      </w:r>
    </w:p>
    <w:p w14:paraId="43405C90" w14:textId="77777777" w:rsidR="00CB3162" w:rsidRDefault="005A337A">
      <w:pPr>
        <w:spacing w:before="60" w:after="50" w:line="236" w:lineRule="auto"/>
      </w:pPr>
      <w:r>
        <w:rPr>
          <w:b/>
          <w:bCs/>
          <w:color w:val="2E6DA4"/>
          <w:sz w:val="20"/>
          <w:szCs w:val="20"/>
        </w:rPr>
        <w:t>六家</w:t>
      </w:r>
      <w:r>
        <w:rPr>
          <w:b/>
          <w:bCs/>
          <w:color w:val="2E6DA4"/>
          <w:sz w:val="20"/>
          <w:szCs w:val="20"/>
        </w:rPr>
        <w:t xml:space="preserve"> BDC </w:t>
      </w:r>
      <w:r>
        <w:rPr>
          <w:b/>
          <w:bCs/>
          <w:color w:val="2E6DA4"/>
          <w:sz w:val="20"/>
          <w:szCs w:val="20"/>
        </w:rPr>
        <w:t>同业对比（</w:t>
      </w:r>
      <w:r>
        <w:rPr>
          <w:b/>
          <w:bCs/>
          <w:color w:val="2E6DA4"/>
          <w:sz w:val="20"/>
          <w:szCs w:val="20"/>
        </w:rPr>
        <w:t>Q2'26</w:t>
      </w:r>
      <w:r>
        <w:rPr>
          <w:b/>
          <w:bCs/>
          <w:color w:val="2E6DA4"/>
          <w:sz w:val="20"/>
          <w:szCs w:val="20"/>
        </w:rPr>
        <w:t>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1420"/>
        <w:gridCol w:w="1305"/>
        <w:gridCol w:w="1305"/>
        <w:gridCol w:w="1305"/>
        <w:gridCol w:w="1325"/>
        <w:gridCol w:w="1325"/>
      </w:tblGrid>
      <w:tr w:rsidR="00CB3162" w14:paraId="3EEB0FC9" w14:textId="77777777">
        <w:trPr>
          <w:tblHeader/>
        </w:trPr>
        <w:tc>
          <w:tcPr>
            <w:tcW w:w="226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72BDAD4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指标</w:t>
            </w:r>
          </w:p>
        </w:tc>
        <w:tc>
          <w:tcPr>
            <w:tcW w:w="14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876BAAE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OTF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DE45983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ARCC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C4AC830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BXSL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BEEABDB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OBDC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E43E945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TSLX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E58C785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GBDC</w:t>
            </w:r>
          </w:p>
        </w:tc>
      </w:tr>
      <w:tr w:rsidR="00CB3162" w14:paraId="1740030D" w14:textId="77777777">
        <w:tc>
          <w:tcPr>
            <w:tcW w:w="226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AC95D05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P/NAV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8/14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14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A028232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0.70x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D49C242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1.03x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1AE2ED4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0.97x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2472E1E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0.82x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FC10A1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1.16x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BAD0259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0.93x</w:t>
            </w:r>
          </w:p>
        </w:tc>
      </w:tr>
      <w:tr w:rsidR="00CB3162" w14:paraId="50982EF9" w14:textId="77777777">
        <w:tc>
          <w:tcPr>
            <w:tcW w:w="226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DC1C0B9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NAV </w:t>
            </w:r>
            <w:r>
              <w:rPr>
                <w:color w:val="000000"/>
                <w:sz w:val="16"/>
                <w:szCs w:val="16"/>
              </w:rPr>
              <w:t>变动</w:t>
            </w:r>
          </w:p>
        </w:tc>
        <w:tc>
          <w:tcPr>
            <w:tcW w:w="14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D0B391F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持平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QoQ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29B31C8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−1.2% QoQ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6D17F20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−5.2% 1H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E06D4AE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−3.7% 1H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719D9D3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−4.4% 1H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5C6397C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−4.8% FYTD</w:t>
            </w:r>
          </w:p>
        </w:tc>
      </w:tr>
      <w:tr w:rsidR="00CB3162" w14:paraId="647CEB00" w14:textId="77777777">
        <w:tc>
          <w:tcPr>
            <w:tcW w:w="226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94EFA11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非应计（成本）</w:t>
            </w:r>
          </w:p>
        </w:tc>
        <w:tc>
          <w:tcPr>
            <w:tcW w:w="14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5DC68CB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0.6%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3AD0F15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2.4%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1288294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3.6%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A263B75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2.8%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7C3F396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1.9%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364938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2.9%</w:t>
            </w:r>
          </w:p>
        </w:tc>
      </w:tr>
      <w:tr w:rsidR="00CB3162" w14:paraId="3A9493BD" w14:textId="77777777">
        <w:tc>
          <w:tcPr>
            <w:tcW w:w="226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7503EFC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PIK </w:t>
            </w:r>
            <w:r>
              <w:rPr>
                <w:color w:val="000000"/>
                <w:sz w:val="16"/>
                <w:szCs w:val="16"/>
              </w:rPr>
              <w:t>占</w:t>
            </w:r>
            <w:r>
              <w:rPr>
                <w:color w:val="000000"/>
                <w:sz w:val="16"/>
                <w:szCs w:val="16"/>
              </w:rPr>
              <w:t xml:space="preserve"> TII</w:t>
            </w:r>
          </w:p>
        </w:tc>
        <w:tc>
          <w:tcPr>
            <w:tcW w:w="14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C8D172C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12.5% ↓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BBED3B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15.8%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2CD006D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6.6%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D96337B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10.7%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641E661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92FD1E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8.6% ↑</w:t>
            </w:r>
          </w:p>
        </w:tc>
      </w:tr>
      <w:tr w:rsidR="00CB3162" w14:paraId="5C33ACE6" w14:textId="77777777">
        <w:tc>
          <w:tcPr>
            <w:tcW w:w="226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0F48735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本季分红动作</w:t>
            </w:r>
          </w:p>
        </w:tc>
        <w:tc>
          <w:tcPr>
            <w:tcW w:w="14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FF3FC61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未削减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E260674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未削减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3D27BA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JPM </w:t>
            </w:r>
            <w:r>
              <w:rPr>
                <w:color w:val="000000"/>
                <w:sz w:val="16"/>
                <w:szCs w:val="16"/>
              </w:rPr>
              <w:t>预测削减</w:t>
            </w:r>
          </w:p>
        </w:tc>
        <w:tc>
          <w:tcPr>
            <w:tcW w:w="13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CDEF56A" w14:textId="5CEF4ABC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削</w:t>
            </w:r>
            <w:r w:rsidR="00A42AA7">
              <w:rPr>
                <w:color w:val="000000"/>
                <w:sz w:val="16"/>
                <w:szCs w:val="16"/>
              </w:rPr>
              <w:t>减</w:t>
            </w:r>
            <w:r>
              <w:rPr>
                <w:color w:val="000000"/>
                <w:sz w:val="16"/>
                <w:szCs w:val="16"/>
              </w:rPr>
              <w:t xml:space="preserve"> −16%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0799003" w14:textId="695A41A0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削</w:t>
            </w:r>
            <w:r w:rsidR="00A42AA7">
              <w:rPr>
                <w:color w:val="000000"/>
                <w:sz w:val="16"/>
                <w:szCs w:val="16"/>
              </w:rPr>
              <w:t>减</w:t>
            </w:r>
            <w:r>
              <w:rPr>
                <w:color w:val="000000"/>
                <w:sz w:val="16"/>
                <w:szCs w:val="16"/>
              </w:rPr>
              <w:t>−9%</w:t>
            </w:r>
          </w:p>
        </w:tc>
        <w:tc>
          <w:tcPr>
            <w:tcW w:w="132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296BF3F" w14:textId="48373FF8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削</w:t>
            </w:r>
            <w:r w:rsidR="00A42AA7">
              <w:rPr>
                <w:color w:val="000000"/>
                <w:sz w:val="16"/>
                <w:szCs w:val="16"/>
              </w:rPr>
              <w:t>减</w:t>
            </w:r>
            <w:r>
              <w:rPr>
                <w:color w:val="000000"/>
                <w:sz w:val="16"/>
                <w:szCs w:val="16"/>
              </w:rPr>
              <w:t>−15%</w:t>
            </w:r>
          </w:p>
        </w:tc>
      </w:tr>
    </w:tbl>
    <w:p w14:paraId="457CEBAA" w14:textId="77777777" w:rsidR="00CB3162" w:rsidRDefault="005A337A">
      <w:pPr>
        <w:spacing w:before="30" w:after="60" w:line="236" w:lineRule="auto"/>
      </w:pPr>
      <w:r>
        <w:rPr>
          <w:i/>
          <w:iCs/>
          <w:color w:val="5A6B7B"/>
          <w:sz w:val="13"/>
          <w:szCs w:val="13"/>
        </w:rPr>
        <w:t>各公司</w:t>
      </w:r>
      <w:r>
        <w:rPr>
          <w:i/>
          <w:iCs/>
          <w:color w:val="5A6B7B"/>
          <w:sz w:val="13"/>
          <w:szCs w:val="13"/>
        </w:rPr>
        <w:t xml:space="preserve"> Q2'26 10-Q</w:t>
      </w:r>
      <w:r>
        <w:rPr>
          <w:i/>
          <w:iCs/>
          <w:color w:val="5A6B7B"/>
          <w:sz w:val="13"/>
          <w:szCs w:val="13"/>
        </w:rPr>
        <w:t>；</w:t>
      </w:r>
      <w:r>
        <w:rPr>
          <w:i/>
          <w:iCs/>
          <w:color w:val="5A6B7B"/>
          <w:sz w:val="13"/>
          <w:szCs w:val="13"/>
        </w:rPr>
        <w:t xml:space="preserve">BXSL/OBDC/TSLX/GBDC </w:t>
      </w:r>
      <w:r>
        <w:rPr>
          <w:i/>
          <w:iCs/>
          <w:color w:val="5A6B7B"/>
          <w:sz w:val="13"/>
          <w:szCs w:val="13"/>
        </w:rPr>
        <w:t>的</w:t>
      </w:r>
      <w:r>
        <w:rPr>
          <w:i/>
          <w:iCs/>
          <w:color w:val="5A6B7B"/>
          <w:sz w:val="13"/>
          <w:szCs w:val="13"/>
        </w:rPr>
        <w:t xml:space="preserve"> 10-Q </w:t>
      </w:r>
      <w:r>
        <w:rPr>
          <w:i/>
          <w:iCs/>
          <w:color w:val="5A6B7B"/>
          <w:sz w:val="13"/>
          <w:szCs w:val="13"/>
        </w:rPr>
        <w:t>披露半年度或财年迄今</w:t>
      </w:r>
      <w:r>
        <w:rPr>
          <w:i/>
          <w:iCs/>
          <w:color w:val="5A6B7B"/>
          <w:sz w:val="13"/>
          <w:szCs w:val="13"/>
        </w:rPr>
        <w:t xml:space="preserve"> NAV </w:t>
      </w:r>
      <w:r>
        <w:rPr>
          <w:i/>
          <w:iCs/>
          <w:color w:val="5A6B7B"/>
          <w:sz w:val="13"/>
          <w:szCs w:val="13"/>
        </w:rPr>
        <w:t>对比。</w:t>
      </w:r>
      <w:r>
        <w:rPr>
          <w:i/>
          <w:iCs/>
          <w:color w:val="5A6B7B"/>
          <w:sz w:val="13"/>
          <w:szCs w:val="13"/>
        </w:rPr>
        <w:t xml:space="preserve">OTF </w:t>
      </w:r>
      <w:r>
        <w:rPr>
          <w:i/>
          <w:iCs/>
          <w:color w:val="5A6B7B"/>
          <w:sz w:val="13"/>
          <w:szCs w:val="13"/>
        </w:rPr>
        <w:t>软件敞口</w:t>
      </w:r>
      <w:r>
        <w:rPr>
          <w:i/>
          <w:iCs/>
          <w:color w:val="5A6B7B"/>
          <w:sz w:val="13"/>
          <w:szCs w:val="13"/>
        </w:rPr>
        <w:t xml:space="preserve"> 32.8%</w:t>
      </w:r>
      <w:r>
        <w:rPr>
          <w:i/>
          <w:iCs/>
          <w:color w:val="5A6B7B"/>
          <w:sz w:val="13"/>
          <w:szCs w:val="13"/>
        </w:rPr>
        <w:t>（</w:t>
      </w:r>
      <w:r>
        <w:rPr>
          <w:i/>
          <w:iCs/>
          <w:color w:val="5A6B7B"/>
          <w:sz w:val="13"/>
          <w:szCs w:val="13"/>
        </w:rPr>
        <w:t>GICS</w:t>
      </w:r>
      <w:r>
        <w:rPr>
          <w:i/>
          <w:iCs/>
          <w:color w:val="5A6B7B"/>
          <w:sz w:val="13"/>
          <w:szCs w:val="13"/>
        </w:rPr>
        <w:t>）为六家最高，对比</w:t>
      </w:r>
      <w:r>
        <w:rPr>
          <w:i/>
          <w:iCs/>
          <w:color w:val="5A6B7B"/>
          <w:sz w:val="13"/>
          <w:szCs w:val="13"/>
        </w:rPr>
        <w:t xml:space="preserve"> ARCC 22.0%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BXSL 18.9%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OBDC ~18%</w:t>
      </w:r>
      <w:r>
        <w:rPr>
          <w:i/>
          <w:iCs/>
          <w:color w:val="5A6B7B"/>
          <w:sz w:val="13"/>
          <w:szCs w:val="13"/>
        </w:rPr>
        <w:t>。</w:t>
      </w:r>
      <w:r>
        <w:rPr>
          <w:i/>
          <w:iCs/>
          <w:color w:val="5A6B7B"/>
          <w:sz w:val="13"/>
          <w:szCs w:val="13"/>
        </w:rPr>
        <w:t xml:space="preserve">TSLX </w:t>
      </w:r>
      <w:r>
        <w:rPr>
          <w:i/>
          <w:iCs/>
          <w:color w:val="5A6B7B"/>
          <w:sz w:val="13"/>
          <w:szCs w:val="13"/>
        </w:rPr>
        <w:t>未按软件单列。</w:t>
      </w:r>
      <w:r>
        <w:rPr>
          <w:i/>
          <w:iCs/>
          <w:color w:val="5A6B7B"/>
          <w:sz w:val="13"/>
          <w:szCs w:val="13"/>
        </w:rPr>
        <w:t xml:space="preserve">OBDC </w:t>
      </w:r>
      <w:r>
        <w:rPr>
          <w:i/>
          <w:iCs/>
          <w:color w:val="5A6B7B"/>
          <w:sz w:val="13"/>
          <w:szCs w:val="13"/>
        </w:rPr>
        <w:t>分红</w:t>
      </w:r>
      <w:r>
        <w:rPr>
          <w:i/>
          <w:iCs/>
          <w:color w:val="5A6B7B"/>
          <w:sz w:val="13"/>
          <w:szCs w:val="13"/>
        </w:rPr>
        <w:t xml:space="preserve"> $0.37→$0.31</w:t>
      </w:r>
      <w:r>
        <w:rPr>
          <w:i/>
          <w:iCs/>
          <w:color w:val="5A6B7B"/>
          <w:sz w:val="13"/>
          <w:szCs w:val="13"/>
        </w:rPr>
        <w:t>（另加</w:t>
      </w:r>
      <w:r>
        <w:rPr>
          <w:i/>
          <w:iCs/>
          <w:color w:val="5A6B7B"/>
          <w:sz w:val="13"/>
          <w:szCs w:val="13"/>
        </w:rPr>
        <w:t xml:space="preserve"> $0.02 </w:t>
      </w:r>
      <w:r>
        <w:rPr>
          <w:i/>
          <w:iCs/>
          <w:color w:val="5A6B7B"/>
          <w:sz w:val="13"/>
          <w:szCs w:val="13"/>
        </w:rPr>
        <w:t>补充）、</w:t>
      </w:r>
      <w:r>
        <w:rPr>
          <w:i/>
          <w:iCs/>
          <w:color w:val="5A6B7B"/>
          <w:sz w:val="13"/>
          <w:szCs w:val="13"/>
        </w:rPr>
        <w:t>TSLX $0.46→$0.42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GBDC $0.39→$0.33</w:t>
      </w:r>
      <w:r>
        <w:rPr>
          <w:i/>
          <w:iCs/>
          <w:color w:val="5A6B7B"/>
          <w:sz w:val="13"/>
          <w:szCs w:val="13"/>
        </w:rPr>
        <w:t>。</w:t>
      </w:r>
    </w:p>
    <w:p w14:paraId="3F5E6D03" w14:textId="77777777" w:rsidR="00A42AA7" w:rsidRPr="00A42AA7" w:rsidRDefault="00A42AA7">
      <w:pPr>
        <w:spacing w:before="44" w:after="34" w:line="236" w:lineRule="auto"/>
        <w:rPr>
          <w:b/>
          <w:bCs/>
          <w:color w:val="1F3B5B"/>
          <w:sz w:val="14"/>
          <w:szCs w:val="14"/>
        </w:rPr>
      </w:pPr>
    </w:p>
    <w:p w14:paraId="6469B91D" w14:textId="17B96B84" w:rsidR="00CB3162" w:rsidRDefault="005A337A">
      <w:pPr>
        <w:spacing w:before="44" w:after="34" w:line="236" w:lineRule="auto"/>
      </w:pPr>
      <w:r>
        <w:rPr>
          <w:b/>
          <w:bCs/>
          <w:color w:val="1F3B5B"/>
          <w:sz w:val="22"/>
          <w:szCs w:val="22"/>
        </w:rPr>
        <w:t>4. Our Position</w:t>
      </w:r>
      <w:r>
        <w:rPr>
          <w:b/>
          <w:bCs/>
          <w:color w:val="1F3B5B"/>
          <w:sz w:val="22"/>
          <w:szCs w:val="22"/>
        </w:rPr>
        <w:t>：评估、</w:t>
      </w:r>
      <w:r>
        <w:rPr>
          <w:b/>
          <w:bCs/>
          <w:color w:val="1F3B5B"/>
          <w:sz w:val="22"/>
          <w:szCs w:val="22"/>
        </w:rPr>
        <w:t xml:space="preserve">Watch List </w:t>
      </w:r>
      <w:r>
        <w:rPr>
          <w:b/>
          <w:bCs/>
          <w:color w:val="1F3B5B"/>
          <w:sz w:val="22"/>
          <w:szCs w:val="22"/>
        </w:rPr>
        <w:t>与操作建议</w:t>
      </w:r>
    </w:p>
    <w:p w14:paraId="46EF7E01" w14:textId="77777777" w:rsidR="00CB3162" w:rsidRDefault="005A337A">
      <w:pPr>
        <w:spacing w:after="36" w:line="236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整体评估：良好、需观察。</w:t>
      </w:r>
      <w:r>
        <w:rPr>
          <w:color w:val="000000"/>
        </w:rPr>
        <w:t>信用面（非应计、</w:t>
      </w:r>
      <w:r>
        <w:rPr>
          <w:color w:val="000000"/>
        </w:rPr>
        <w:t xml:space="preserve">PIK </w:t>
      </w:r>
      <w:r>
        <w:rPr>
          <w:color w:val="000000"/>
        </w:rPr>
        <w:t>方向、借款人盈利）为六家最优；估值面</w:t>
      </w:r>
      <w:r>
        <w:rPr>
          <w:color w:val="000000"/>
        </w:rPr>
        <w:t xml:space="preserve"> 0.70x </w:t>
      </w:r>
      <w:r>
        <w:rPr>
          <w:color w:val="000000"/>
        </w:rPr>
        <w:t>折价最深，卖方目标价</w:t>
      </w:r>
      <w:r>
        <w:rPr>
          <w:color w:val="000000"/>
        </w:rPr>
        <w:t xml:space="preserve"> $11.50–17.00</w:t>
      </w:r>
      <w:r>
        <w:rPr>
          <w:color w:val="000000"/>
        </w:rPr>
        <w:t>（一致预期</w:t>
      </w:r>
      <w:r>
        <w:rPr>
          <w:color w:val="000000"/>
        </w:rPr>
        <w:t xml:space="preserve"> ~$13.6</w:t>
      </w:r>
      <w:r>
        <w:rPr>
          <w:color w:val="000000"/>
        </w:rPr>
        <w:t>，较现价持平至</w:t>
      </w:r>
      <w:r>
        <w:rPr>
          <w:color w:val="000000"/>
        </w:rPr>
        <w:t xml:space="preserve"> +47%</w:t>
      </w:r>
      <w:r>
        <w:rPr>
          <w:color w:val="000000"/>
        </w:rPr>
        <w:t>）；风险面是应用软件集中度（应用层约占组合公允值一半）与</w:t>
      </w:r>
      <w:r>
        <w:rPr>
          <w:color w:val="000000"/>
        </w:rPr>
        <w:t xml:space="preserve"> 36(b) </w:t>
      </w:r>
      <w:r>
        <w:rPr>
          <w:color w:val="000000"/>
        </w:rPr>
        <w:t>诉讼，均为「观察项」而非「行动项」。</w:t>
      </w:r>
    </w:p>
    <w:p w14:paraId="6CC1B87D" w14:textId="77777777" w:rsidR="00CB3162" w:rsidRDefault="005A337A">
      <w:pPr>
        <w:spacing w:before="60" w:after="50" w:line="236" w:lineRule="auto"/>
      </w:pPr>
      <w:r>
        <w:rPr>
          <w:b/>
          <w:bCs/>
          <w:color w:val="2E6DA4"/>
        </w:rPr>
        <w:t>Watch List</w:t>
      </w:r>
      <w:r>
        <w:rPr>
          <w:b/>
          <w:bCs/>
          <w:color w:val="2E6DA4"/>
        </w:rPr>
        <w:t>（下季核对项与触发线）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400"/>
        <w:gridCol w:w="2645"/>
      </w:tblGrid>
      <w:tr w:rsidR="00CB3162" w14:paraId="07D91F79" w14:textId="77777777">
        <w:trPr>
          <w:tblHeader/>
        </w:trPr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ECF823A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监测项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9C3DDC9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当前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A204561" w14:textId="77777777" w:rsidR="00CB3162" w:rsidRDefault="005A337A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触发线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/ </w:t>
            </w:r>
            <w:r>
              <w:rPr>
                <w:b/>
                <w:bCs/>
                <w:color w:val="FFFFFF"/>
                <w:sz w:val="16"/>
                <w:szCs w:val="16"/>
              </w:rPr>
              <w:t>时点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3128084" w14:textId="77777777" w:rsidR="00CB3162" w:rsidRDefault="005A337A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触发后动作</w:t>
            </w:r>
          </w:p>
        </w:tc>
      </w:tr>
      <w:tr w:rsidR="00CB3162" w14:paraId="54C937D6" w14:textId="77777777"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F991E6E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非应计（成本）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03121A7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0.6%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7E4C648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&gt; 2%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E977DFD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上会重议持仓</w:t>
            </w:r>
          </w:p>
        </w:tc>
      </w:tr>
      <w:tr w:rsidR="00CB3162" w14:paraId="1E1610FC" w14:textId="77777777"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6700048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P/NAV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1C7A771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0.70x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36F795B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&lt; 0.60x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68F9A10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上会重议（加仓</w:t>
            </w:r>
            <w:r>
              <w:rPr>
                <w:color w:val="000000"/>
                <w:sz w:val="16"/>
                <w:szCs w:val="16"/>
              </w:rPr>
              <w:t xml:space="preserve"> / </w:t>
            </w:r>
            <w:r>
              <w:rPr>
                <w:color w:val="000000"/>
                <w:sz w:val="16"/>
                <w:szCs w:val="16"/>
              </w:rPr>
              <w:t>退出双向评估）</w:t>
            </w:r>
          </w:p>
        </w:tc>
      </w:tr>
      <w:tr w:rsidR="00CB3162" w14:paraId="5CB69D67" w14:textId="77777777"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F965DBA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基础分红现金覆盖（</w:t>
            </w:r>
            <w:r>
              <w:rPr>
                <w:color w:val="000000"/>
                <w:sz w:val="16"/>
                <w:szCs w:val="16"/>
              </w:rPr>
              <w:t>GAAP NII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6967BA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86%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6131374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&lt; 80% </w:t>
            </w:r>
            <w:r>
              <w:rPr>
                <w:color w:val="000000"/>
                <w:sz w:val="16"/>
                <w:szCs w:val="16"/>
              </w:rPr>
              <w:t>或连续两季下滑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4DE3C29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复核分红可持续性</w:t>
            </w:r>
          </w:p>
        </w:tc>
      </w:tr>
      <w:tr w:rsidR="00CB3162" w14:paraId="5D9396A7" w14:textId="77777777"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4C14E35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非交易基金</w:t>
            </w:r>
            <w:r>
              <w:rPr>
                <w:color w:val="000000"/>
                <w:sz w:val="16"/>
                <w:szCs w:val="16"/>
              </w:rPr>
              <w:t xml:space="preserve"> 3Q </w:t>
            </w:r>
            <w:r>
              <w:rPr>
                <w:color w:val="000000"/>
                <w:sz w:val="16"/>
                <w:szCs w:val="16"/>
              </w:rPr>
              <w:t>赎回申请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6E246A1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2Q $4.7bn</w:t>
            </w:r>
            <w:r>
              <w:rPr>
                <w:color w:val="000000"/>
                <w:sz w:val="16"/>
                <w:szCs w:val="16"/>
              </w:rPr>
              <w:t>（回落中）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1BC869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10 </w:t>
            </w:r>
            <w:r>
              <w:rPr>
                <w:color w:val="000000"/>
                <w:sz w:val="16"/>
                <w:szCs w:val="16"/>
              </w:rPr>
              <w:t>月初披露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8847BF2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回升则关注融资成本传导</w:t>
            </w:r>
          </w:p>
        </w:tc>
      </w:tr>
      <w:tr w:rsidR="00CB3162" w14:paraId="08C8E567" w14:textId="77777777"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207772A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36(b) </w:t>
            </w:r>
            <w:r>
              <w:rPr>
                <w:color w:val="000000"/>
                <w:sz w:val="16"/>
                <w:szCs w:val="16"/>
              </w:rPr>
              <w:t>诉讼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3732859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已立案（</w:t>
            </w:r>
            <w:r>
              <w:rPr>
                <w:color w:val="000000"/>
                <w:sz w:val="16"/>
                <w:szCs w:val="16"/>
              </w:rPr>
              <w:t>6/18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3DFD0FA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驳回动议</w:t>
            </w:r>
            <w:r>
              <w:rPr>
                <w:color w:val="000000"/>
                <w:sz w:val="16"/>
                <w:szCs w:val="16"/>
              </w:rPr>
              <w:t xml:space="preserve"> / </w:t>
            </w:r>
            <w:r>
              <w:rPr>
                <w:color w:val="000000"/>
                <w:sz w:val="16"/>
                <w:szCs w:val="16"/>
              </w:rPr>
              <w:t>进入取证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5C60CDED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进入取证则评估</w:t>
            </w:r>
            <w:r>
              <w:rPr>
                <w:color w:val="000000"/>
                <w:sz w:val="16"/>
                <w:szCs w:val="16"/>
              </w:rPr>
              <w:t xml:space="preserve"> Level-3 </w:t>
            </w:r>
            <w:r>
              <w:rPr>
                <w:color w:val="000000"/>
                <w:sz w:val="16"/>
                <w:szCs w:val="16"/>
              </w:rPr>
              <w:t>估值披露风险</w:t>
            </w:r>
          </w:p>
        </w:tc>
      </w:tr>
      <w:tr w:rsidR="00CB3162" w14:paraId="195BA223" w14:textId="77777777"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1E154DE7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Q3 </w:t>
            </w:r>
            <w:r>
              <w:rPr>
                <w:color w:val="000000"/>
                <w:sz w:val="16"/>
                <w:szCs w:val="16"/>
              </w:rPr>
              <w:t>补充分红决定</w:t>
            </w:r>
          </w:p>
        </w:tc>
        <w:tc>
          <w:tcPr>
            <w:tcW w:w="2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325A5436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特别分红</w:t>
            </w:r>
            <w:r>
              <w:rPr>
                <w:color w:val="000000"/>
                <w:sz w:val="16"/>
                <w:szCs w:val="16"/>
              </w:rPr>
              <w:t xml:space="preserve"> 10/6 </w:t>
            </w:r>
            <w:r>
              <w:rPr>
                <w:color w:val="000000"/>
                <w:sz w:val="16"/>
                <w:szCs w:val="16"/>
              </w:rPr>
              <w:t>结束；</w:t>
            </w:r>
            <w:r>
              <w:rPr>
                <w:color w:val="000000"/>
                <w:sz w:val="16"/>
                <w:szCs w:val="16"/>
              </w:rPr>
              <w:t>spillover $0.32/</w:t>
            </w:r>
            <w:r>
              <w:rPr>
                <w:color w:val="000000"/>
                <w:sz w:val="16"/>
                <w:szCs w:val="16"/>
              </w:rPr>
              <w:t>股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E5D656C" w14:textId="77777777" w:rsidR="00CB3162" w:rsidRDefault="005A337A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11 </w:t>
            </w:r>
            <w:r>
              <w:rPr>
                <w:color w:val="000000"/>
                <w:sz w:val="16"/>
                <w:szCs w:val="16"/>
              </w:rPr>
              <w:t>月初随</w:t>
            </w:r>
            <w:r>
              <w:rPr>
                <w:color w:val="000000"/>
                <w:sz w:val="16"/>
                <w:szCs w:val="16"/>
              </w:rPr>
              <w:t xml:space="preserve"> Q3 </w:t>
            </w:r>
            <w:r>
              <w:rPr>
                <w:color w:val="000000"/>
                <w:sz w:val="16"/>
                <w:szCs w:val="16"/>
              </w:rPr>
              <w:t>业绩</w:t>
            </w:r>
          </w:p>
        </w:tc>
        <w:tc>
          <w:tcPr>
            <w:tcW w:w="26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7008B6D9" w14:textId="77777777" w:rsidR="00CB3162" w:rsidRDefault="005A337A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有无补充分红都是管理层信号，纳入下季摘要</w:t>
            </w:r>
          </w:p>
        </w:tc>
      </w:tr>
    </w:tbl>
    <w:p w14:paraId="6B67E391" w14:textId="77777777" w:rsidR="00CB3162" w:rsidRDefault="00CB3162">
      <w:pPr>
        <w:spacing w:after="16" w:line="236" w:lineRule="auto"/>
      </w:pP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5"/>
      </w:tblGrid>
      <w:tr w:rsidR="00CB3162" w14:paraId="7F741A61" w14:textId="77777777">
        <w:tc>
          <w:tcPr>
            <w:tcW w:w="10245" w:type="dxa"/>
            <w:tcBorders>
              <w:top w:val="single" w:sz="12" w:space="0" w:color="1F3B5B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921D20" w14:textId="77777777" w:rsidR="00CB3162" w:rsidRDefault="005A337A">
            <w:pPr>
              <w:spacing w:line="236" w:lineRule="auto"/>
            </w:pPr>
            <w:r>
              <w:rPr>
                <w:b/>
                <w:bCs/>
                <w:color w:val="1F3B5B"/>
              </w:rPr>
              <w:t>操作建议：维持持仓不动。</w:t>
            </w:r>
            <w:r>
              <w:rPr>
                <w:color w:val="000000"/>
              </w:rPr>
              <w:t xml:space="preserve">0.70x </w:t>
            </w:r>
            <w:r>
              <w:rPr>
                <w:color w:val="000000"/>
              </w:rPr>
              <w:t>的折价是市场对应用软件集中度的提前定价，而非</w:t>
            </w:r>
            <w:r>
              <w:rPr>
                <w:color w:val="000000"/>
              </w:rPr>
              <w:t xml:space="preserve"> OTF </w:t>
            </w:r>
            <w:r>
              <w:rPr>
                <w:color w:val="000000"/>
              </w:rPr>
              <w:t>自身信用恶化的信号</w:t>
            </w:r>
            <w:r>
              <w:rPr>
                <w:color w:val="000000"/>
              </w:rPr>
              <w:t>——</w:t>
            </w:r>
            <w:r>
              <w:rPr>
                <w:color w:val="000000"/>
              </w:rPr>
              <w:t>其非应计、</w:t>
            </w:r>
            <w:r>
              <w:rPr>
                <w:color w:val="000000"/>
              </w:rPr>
              <w:t xml:space="preserve">PIK </w:t>
            </w:r>
            <w:r>
              <w:rPr>
                <w:color w:val="000000"/>
              </w:rPr>
              <w:t>方向与借款人盈利均优于同业。若折价走阔至</w:t>
            </w:r>
            <w:r>
              <w:rPr>
                <w:color w:val="000000"/>
              </w:rPr>
              <w:t xml:space="preserve"> 0.60x </w:t>
            </w:r>
            <w:r>
              <w:rPr>
                <w:color w:val="000000"/>
              </w:rPr>
              <w:t>以下或非应计突破</w:t>
            </w:r>
            <w:r>
              <w:rPr>
                <w:color w:val="000000"/>
              </w:rPr>
              <w:t xml:space="preserve"> 2%</w:t>
            </w:r>
            <w:r>
              <w:rPr>
                <w:color w:val="000000"/>
              </w:rPr>
              <w:t>，再上会讨论。</w:t>
            </w:r>
          </w:p>
        </w:tc>
      </w:tr>
    </w:tbl>
    <w:p w14:paraId="2424FF90" w14:textId="77777777" w:rsidR="005A337A" w:rsidRDefault="005A337A"/>
    <w:sectPr w:rsidR="005A337A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580" w:right="831" w:bottom="480" w:left="83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7B50" w14:textId="77777777" w:rsidR="005E2B11" w:rsidRDefault="005E2B11">
      <w:r>
        <w:separator/>
      </w:r>
    </w:p>
  </w:endnote>
  <w:endnote w:type="continuationSeparator" w:id="0">
    <w:p w14:paraId="6DCE6A6F" w14:textId="77777777" w:rsidR="005E2B11" w:rsidRDefault="005E2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3801" w14:textId="77777777" w:rsidR="00CB3162" w:rsidRDefault="005A337A">
    <w:pPr>
      <w:spacing w:line="236" w:lineRule="auto"/>
      <w:jc w:val="center"/>
    </w:pPr>
    <w:r>
      <w:rPr>
        <w:color w:val="8496A9"/>
        <w:sz w:val="13"/>
        <w:szCs w:val="13"/>
      </w:rPr>
      <w:t>For internal research use only — Junson AID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A998" w14:textId="77777777" w:rsidR="00CB3162" w:rsidRDefault="005A337A">
    <w:pPr>
      <w:spacing w:line="236" w:lineRule="auto"/>
      <w:jc w:val="center"/>
    </w:pPr>
    <w:r>
      <w:rPr>
        <w:color w:val="8496A9"/>
        <w:sz w:val="13"/>
        <w:szCs w:val="13"/>
      </w:rPr>
      <w:t>For internal research use only — Junson AID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B6D6" w14:textId="77777777" w:rsidR="005E2B11" w:rsidRDefault="005E2B11">
      <w:r>
        <w:separator/>
      </w:r>
    </w:p>
  </w:footnote>
  <w:footnote w:type="continuationSeparator" w:id="0">
    <w:p w14:paraId="370C12CE" w14:textId="77777777" w:rsidR="005E2B11" w:rsidRDefault="005E2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CE25A" w14:textId="77777777" w:rsidR="00CB3162" w:rsidRDefault="005A337A">
    <w:pPr>
      <w:spacing w:line="236" w:lineRule="auto"/>
    </w:pPr>
    <w:r>
      <w:rPr>
        <w:color w:val="8496A9"/>
        <w:sz w:val="14"/>
        <w:szCs w:val="14"/>
      </w:rPr>
      <w:t>JUNSON Capital | Blue Owl Technology Finance Corp.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AD47" w14:textId="77777777" w:rsidR="00CB3162" w:rsidRDefault="00CB3162">
    <w:pPr>
      <w:spacing w:line="23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3690"/>
    <w:multiLevelType w:val="hybridMultilevel"/>
    <w:tmpl w:val="91CA8C22"/>
    <w:lvl w:ilvl="0" w:tplc="A0D8019E">
      <w:start w:val="1"/>
      <w:numFmt w:val="bullet"/>
      <w:lvlText w:val="●"/>
      <w:lvlJc w:val="left"/>
      <w:pPr>
        <w:ind w:left="720" w:hanging="360"/>
      </w:pPr>
    </w:lvl>
    <w:lvl w:ilvl="1" w:tplc="5EEC0970">
      <w:start w:val="1"/>
      <w:numFmt w:val="bullet"/>
      <w:lvlText w:val="○"/>
      <w:lvlJc w:val="left"/>
      <w:pPr>
        <w:ind w:left="1440" w:hanging="360"/>
      </w:pPr>
    </w:lvl>
    <w:lvl w:ilvl="2" w:tplc="80E2CD22">
      <w:start w:val="1"/>
      <w:numFmt w:val="bullet"/>
      <w:lvlText w:val="■"/>
      <w:lvlJc w:val="left"/>
      <w:pPr>
        <w:ind w:left="2160" w:hanging="360"/>
      </w:pPr>
    </w:lvl>
    <w:lvl w:ilvl="3" w:tplc="1CB49936">
      <w:start w:val="1"/>
      <w:numFmt w:val="bullet"/>
      <w:lvlText w:val="●"/>
      <w:lvlJc w:val="left"/>
      <w:pPr>
        <w:ind w:left="2880" w:hanging="360"/>
      </w:pPr>
    </w:lvl>
    <w:lvl w:ilvl="4" w:tplc="32647F88">
      <w:start w:val="1"/>
      <w:numFmt w:val="bullet"/>
      <w:lvlText w:val="○"/>
      <w:lvlJc w:val="left"/>
      <w:pPr>
        <w:ind w:left="3600" w:hanging="360"/>
      </w:pPr>
    </w:lvl>
    <w:lvl w:ilvl="5" w:tplc="F3E2B55A">
      <w:start w:val="1"/>
      <w:numFmt w:val="bullet"/>
      <w:lvlText w:val="■"/>
      <w:lvlJc w:val="left"/>
      <w:pPr>
        <w:ind w:left="4320" w:hanging="360"/>
      </w:pPr>
    </w:lvl>
    <w:lvl w:ilvl="6" w:tplc="D3B45894">
      <w:start w:val="1"/>
      <w:numFmt w:val="bullet"/>
      <w:lvlText w:val="●"/>
      <w:lvlJc w:val="left"/>
      <w:pPr>
        <w:ind w:left="5040" w:hanging="360"/>
      </w:pPr>
    </w:lvl>
    <w:lvl w:ilvl="7" w:tplc="7818B7BC">
      <w:start w:val="1"/>
      <w:numFmt w:val="bullet"/>
      <w:lvlText w:val="●"/>
      <w:lvlJc w:val="left"/>
      <w:pPr>
        <w:ind w:left="5760" w:hanging="360"/>
      </w:pPr>
    </w:lvl>
    <w:lvl w:ilvl="8" w:tplc="521EDD40">
      <w:start w:val="1"/>
      <w:numFmt w:val="bullet"/>
      <w:lvlText w:val="●"/>
      <w:lvlJc w:val="left"/>
      <w:pPr>
        <w:ind w:left="6480" w:hanging="360"/>
      </w:pPr>
    </w:lvl>
  </w:abstractNum>
  <w:num w:numId="1" w16cid:durableId="62801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162"/>
    <w:rsid w:val="0001671E"/>
    <w:rsid w:val="00537BD2"/>
    <w:rsid w:val="00565B40"/>
    <w:rsid w:val="005A337A"/>
    <w:rsid w:val="005B7296"/>
    <w:rsid w:val="005E2B11"/>
    <w:rsid w:val="009F33C4"/>
    <w:rsid w:val="00A42AA7"/>
    <w:rsid w:val="00B02E6A"/>
    <w:rsid w:val="00BA2C06"/>
    <w:rsid w:val="00CB3162"/>
    <w:rsid w:val="00D2635D"/>
    <w:rsid w:val="00DE5587"/>
    <w:rsid w:val="00EC1ADF"/>
    <w:rsid w:val="00F4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6EBCA"/>
  <w15:docId w15:val="{AAC92CD0-3CC7-4CAC-85DD-D59986DF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DengXian" w:hAnsi="Calibri Light" w:cs="Calibri Light"/>
        <w:sz w:val="18"/>
        <w:szCs w:val="18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A2C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2C06"/>
  </w:style>
  <w:style w:type="paragraph" w:styleId="Footer">
    <w:name w:val="footer"/>
    <w:basedOn w:val="Normal"/>
    <w:link w:val="FooterChar"/>
    <w:uiPriority w:val="99"/>
    <w:semiHidden/>
    <w:unhideWhenUsed/>
    <w:rsid w:val="00BA2C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2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bb1062-41e6-432c-9c43-d324a8966ea8">
      <Terms xmlns="http://schemas.microsoft.com/office/infopath/2007/PartnerControls"/>
    </lcf76f155ced4ddcb4097134ff3c332f>
    <TaxCatchAll xmlns="99780c3d-ce84-4612-bd1f-c1310cd1ad1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D05CCF851AC4192721B5C18719E0A" ma:contentTypeVersion="14" ma:contentTypeDescription="Create a new document." ma:contentTypeScope="" ma:versionID="78520571c042d76978e9ec0fe631ebdf">
  <xsd:schema xmlns:xsd="http://www.w3.org/2001/XMLSchema" xmlns:xs="http://www.w3.org/2001/XMLSchema" xmlns:p="http://schemas.microsoft.com/office/2006/metadata/properties" xmlns:ns2="bfbb1062-41e6-432c-9c43-d324a8966ea8" xmlns:ns3="99780c3d-ce84-4612-bd1f-c1310cd1ad15" targetNamespace="http://schemas.microsoft.com/office/2006/metadata/properties" ma:root="true" ma:fieldsID="956673cc0575f07931f680defeba172c" ns2:_="" ns3:_="">
    <xsd:import namespace="bfbb1062-41e6-432c-9c43-d324a8966ea8"/>
    <xsd:import namespace="99780c3d-ce84-4612-bd1f-c1310cd1ad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b1062-41e6-432c-9c43-d324a8966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af81b6-6ddb-4c7c-9707-17f1317d6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80c3d-ce84-4612-bd1f-c1310cd1ad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3fe86c-0038-4a3d-9f4e-054dcbe1eede}" ma:internalName="TaxCatchAll" ma:showField="CatchAllData" ma:web="99780c3d-ce84-4612-bd1f-c1310cd1ad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A2E020-2176-488D-82B8-65D559EABA4A}">
  <ds:schemaRefs>
    <ds:schemaRef ds:uri="http://schemas.microsoft.com/office/2006/metadata/properties"/>
    <ds:schemaRef ds:uri="http://schemas.microsoft.com/office/infopath/2007/PartnerControls"/>
    <ds:schemaRef ds:uri="bfbb1062-41e6-432c-9c43-d324a8966ea8"/>
    <ds:schemaRef ds:uri="99780c3d-ce84-4612-bd1f-c1310cd1ad15"/>
  </ds:schemaRefs>
</ds:datastoreItem>
</file>

<file path=customXml/itemProps2.xml><?xml version="1.0" encoding="utf-8"?>
<ds:datastoreItem xmlns:ds="http://schemas.openxmlformats.org/officeDocument/2006/customXml" ds:itemID="{35D8970D-DEBF-4ACE-9587-965547114708}"/>
</file>

<file path=customXml/itemProps3.xml><?xml version="1.0" encoding="utf-8"?>
<ds:datastoreItem xmlns:ds="http://schemas.openxmlformats.org/officeDocument/2006/customXml" ds:itemID="{514F4E4E-0DFB-4551-B5F5-2DE4ABEDD7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3228</Characters>
  <Application>Microsoft Office Word</Application>
  <DocSecurity>4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Xiyang Zhao</cp:lastModifiedBy>
  <cp:revision>1</cp:revision>
  <dcterms:created xsi:type="dcterms:W3CDTF">2026-08-31T07:24:00Z</dcterms:created>
  <dcterms:modified xsi:type="dcterms:W3CDTF">2026-09-01T10:02:00Z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0x010100881D05CCF851AC4192721B5C18719E0A</vt:lpwstr>
  </property>
  <property fmtid="{D5CDD505-2E9C-101B-9397-08002B2CF9AE}" pid="3" name="MediaServiceImageTags">
    <vt:lpwstr/>
  </property>
</Properties>
</file>