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xtLensTitle"/>
      </w:pPr>
      <w:r>
        <w:t>Healthcare Mode Basis</w:t>
      </w:r>
    </w:p>
    <w:p>
      <w:pPr>
        <w:pStyle w:val="TextLensSubtitle"/>
      </w:pPr>
      <w:r>
        <w:t>TextLens method governance note</w:t>
      </w:r>
    </w:p>
    <w:p>
      <w:pPr>
        <w:pStyle w:val="Heading1"/>
      </w:pPr>
      <w:r>
        <w:t>Purpose</w:t>
      </w:r>
    </w:p>
    <w:p>
      <w:r>
        <w:rPr>
          <w:rFonts w:ascii="Calibri" w:hAnsi="Calibri"/>
          <w:b w:val="0"/>
          <w:sz w:val="22"/>
        </w:rPr>
        <w:t>Healthcare mode is for reviewing health-sciences articles, editorials, correspondence, commentary, and related public-facing health writing where TextLens needs to assess: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publication integrity and editorial standards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health journalism quality and evidentiary transparency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healthcare-in-conflict terminology and criteria mapping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rhetoric, framing, identity language, and evidence handling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antisemitism or anti-Zionism issues when they are actually present in the submitted text</w:t>
      </w:r>
    </w:p>
    <w:p>
      <w:r>
        <w:rPr>
          <w:rFonts w:ascii="Calibri" w:hAnsi="Calibri"/>
          <w:b w:val="0"/>
          <w:sz w:val="22"/>
        </w:rPr>
        <w:t>Healthcare mode is not a legal adjudicator, a peer reviewer, or a fact-checking substitute. It is a structured screening and analysis aid for identifying passages that may require human review, author query, editorial response, correction request, or further TextLens analysis.</w:t>
      </w:r>
    </w:p>
    <w:p>
      <w:pPr>
        <w:pStyle w:val="Heading1"/>
      </w:pPr>
      <w:r>
        <w:t>Source Families</w:t>
      </w:r>
    </w:p>
    <w:p>
      <w:r>
        <w:rPr>
          <w:rFonts w:ascii="Calibri" w:hAnsi="Calibri"/>
          <w:b w:val="0"/>
          <w:sz w:val="22"/>
        </w:rPr>
        <w:t>Healthcare mode draws from five source families.</w:t>
      </w:r>
    </w:p>
    <w:p>
      <w:pPr>
        <w:pStyle w:val="Heading2"/>
      </w:pPr>
      <w:r>
        <w:t>Core antisemitism and Israel-related boundary frameworks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IHRA Working Definition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Jerusalem Declaration on Antisemitism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Nexus Document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TextLens working taxonomy</w:t>
      </w:r>
    </w:p>
    <w:p>
      <w:pPr>
        <w:pStyle w:val="Heading2"/>
      </w:pPr>
      <w:r>
        <w:t>Medical publication and editorial integrity standards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ICMJE Recommendations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COPE and CSE publication ethics materials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WAME publication ethics and geopolitical intrusion policies</w:t>
      </w:r>
    </w:p>
    <w:p>
      <w:pPr>
        <w:pStyle w:val="Heading2"/>
      </w:pPr>
      <w:r>
        <w:t>Identity-language and health reporting standards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JAMA race and ethnicity reporting guidance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AHCJ health journalism principles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Schwitzer health journalism quality criteria, where relevant</w:t>
      </w:r>
    </w:p>
    <w:p>
      <w:pPr>
        <w:pStyle w:val="Heading2"/>
      </w:pPr>
      <w:r>
        <w:t>Healthcare-in-conflict and IHL terminology sources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ICRC Customary IHL Rules 1, 7, 14, 15, 25, and 28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ICRC Health Care in Danger materials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ICRC responsibilities of health-care personnel in armed conflict and emergencies</w:t>
      </w:r>
    </w:p>
    <w:p>
      <w:pPr>
        <w:pStyle w:val="Heading2"/>
      </w:pPr>
      <w:r>
        <w:t>TextLens operational method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mode policy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compiled source rules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taxonomy mappings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staged analysis engine</w:t>
      </w:r>
    </w:p>
    <w:p>
      <w:r>
        <w:rPr>
          <w:rFonts w:ascii="Calibri" w:hAnsi="Calibri"/>
          <w:b w:val="0"/>
          <w:sz w:val="22"/>
        </w:rPr>
        <w:t xml:space="preserve">Runtime source selection is defined in </w:t>
      </w:r>
      <w:r>
        <w:rPr>
          <w:rFonts w:ascii="Consolas" w:hAnsi="Consolas"/>
          <w:b w:val="0"/>
          <w:sz w:val="20"/>
        </w:rPr>
        <w:t>src/analysis/policies/modePolicies.ts</w:t>
      </w:r>
      <w:r>
        <w:rPr>
          <w:rFonts w:ascii="Calibri" w:hAnsi="Calibri"/>
          <w:b w:val="0"/>
          <w:sz w:val="22"/>
        </w:rPr>
        <w:t xml:space="preserve"> and </w:t>
      </w:r>
      <w:r>
        <w:rPr>
          <w:rFonts w:ascii="Consolas" w:hAnsi="Consolas"/>
          <w:b w:val="0"/>
          <w:sz w:val="20"/>
        </w:rPr>
        <w:t>src/analysis/rules/sourceRules.ts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1"/>
      </w:pPr>
      <w:r>
        <w:t>Permitted Findings</w:t>
      </w:r>
    </w:p>
    <w:p>
      <w:r>
        <w:rPr>
          <w:rFonts w:ascii="Calibri" w:hAnsi="Calibri"/>
          <w:b w:val="0"/>
          <w:sz w:val="22"/>
        </w:rPr>
        <w:t>Healthcare mode may identify: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unsupported or under-evidenced claims in the submitted text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selective evidence, trigger omissions, loaded labels, intention inflation, or authority laundering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blurred boundaries between research, opinion, advocacy, and editorial judgement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unclear authorship, affiliation, conflict, peer-review, or editorial-process context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imprecise identity language in medical or scientific claims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loose or overstated healthcare-in-conflict terminology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failure to distinguish allegation, evidence, expert opinion, legal standard, and legal finding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passages that may require review under antisemitism or anti-Zionism frameworks</w:t>
      </w:r>
    </w:p>
    <w:p>
      <w:r>
        <w:rPr>
          <w:rFonts w:ascii="Calibri" w:hAnsi="Calibri"/>
          <w:b w:val="0"/>
          <w:sz w:val="22"/>
        </w:rPr>
        <w:t>Findings should be phrased as analytical concerns, not final determinations.</w:t>
      </w:r>
    </w:p>
    <w:p>
      <w:pPr>
        <w:pStyle w:val="Heading1"/>
      </w:pPr>
      <w:r>
        <w:t>Prohibited Findings</w:t>
      </w:r>
    </w:p>
    <w:p>
      <w:r>
        <w:rPr>
          <w:rFonts w:ascii="Calibri" w:hAnsi="Calibri"/>
          <w:b w:val="0"/>
          <w:sz w:val="22"/>
        </w:rPr>
        <w:t>Healthcare mode must not: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decide whether an attack, military action, or incident was lawful or unlawful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decide whether protected medical personnel or medical units retained or lost protected status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declare that an article is false based on outside facts not supplied to TextLens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infer author, editor, peer reviewer, or journal motive without textual or metadata support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treat ICRC or IHL sources as antisemitism standards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treat ICMJE, COPE, WAME, CSE, JAMA, or AHCJ materials as legal standards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treat harsh criticism of Israel, Zionism, or state policy as antisemitic without additional textual evidence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convert disproportionate attention to Israel into proof of antisemitism by itself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suppress legitimate scientific, political, humanitarian, or editorial disagreement</w:t>
      </w:r>
    </w:p>
    <w:p>
      <w:r>
        <w:rPr>
          <w:rFonts w:ascii="Calibri" w:hAnsi="Calibri"/>
          <w:b w:val="0"/>
          <w:sz w:val="22"/>
        </w:rPr>
        <w:t>When the evidence is incomplete, the correct output is a limitation, uncertainty note, or human-review prompt.</w:t>
      </w:r>
    </w:p>
    <w:p>
      <w:pPr>
        <w:pStyle w:val="Heading1"/>
      </w:pPr>
      <w:r>
        <w:t>Separation Of Questions</w:t>
      </w:r>
    </w:p>
    <w:p>
      <w:r>
        <w:rPr>
          <w:rFonts w:ascii="Calibri" w:hAnsi="Calibri"/>
          <w:b w:val="0"/>
          <w:sz w:val="22"/>
        </w:rPr>
        <w:t>Healthcare mode should keep five questions separate: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Is there an antisemitism or anti-Zionism issue?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Is there a publication-integrity or editorial-process issue?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Is there a health journalism or evidence-quality issue?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Is there a healthcare-in-conflict terminology issue?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Is there a legal/IHL concept being invoked imprecisely?</w:t>
      </w:r>
    </w:p>
    <w:p>
      <w:r>
        <w:rPr>
          <w:rFonts w:ascii="Calibri" w:hAnsi="Calibri"/>
          <w:b w:val="0"/>
          <w:sz w:val="22"/>
        </w:rPr>
        <w:t>A passage may raise more than one question, but the report should not collapse them into a single accusation.</w:t>
      </w:r>
    </w:p>
    <w:p>
      <w:pPr>
        <w:pStyle w:val="Heading1"/>
      </w:pPr>
      <w:r>
        <w:t>Relationship To The Literature Monitor</w:t>
      </w:r>
    </w:p>
    <w:p>
      <w:r>
        <w:rPr>
          <w:rFonts w:ascii="Calibri" w:hAnsi="Calibri"/>
          <w:b w:val="0"/>
          <w:sz w:val="22"/>
        </w:rPr>
        <w:t>The literature monitor collects candidate articles. It does not decide that an article is biased, antisemitic, misleading, or suitable for complaint.</w:t>
      </w:r>
    </w:p>
    <w:p>
      <w:r>
        <w:rPr>
          <w:rFonts w:ascii="Calibri" w:hAnsi="Calibri"/>
          <w:b w:val="0"/>
          <w:sz w:val="22"/>
        </w:rPr>
        <w:t>The Literature Explorer can help a reviewer select articles for analysis by journal, crisis signal, matched terms, status, or review priority. The handoff into TextLens analysis should be understood as a screening step: the article is being sent for structured review, not because the monitor has already made a substantive finding.</w:t>
      </w:r>
    </w:p>
    <w:p>
      <w:pPr>
        <w:pStyle w:val="Heading1"/>
      </w:pPr>
      <w:r>
        <w:t>Human Reviewer Role</w:t>
      </w:r>
    </w:p>
    <w:p>
      <w:r>
        <w:rPr>
          <w:rFonts w:ascii="Calibri" w:hAnsi="Calibri"/>
          <w:b w:val="0"/>
          <w:sz w:val="22"/>
        </w:rPr>
        <w:t>The human reviewer remains responsible for: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deciding whether the article is worth analysing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checking whether TextLens saw enough of the article to assess it fairly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deciding whether external verification is needed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deciding whether to seek correction, correspondence, complaint, response, or no action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deciding whether antisemitism analysis, accountability analysis, or healthcare publication analysis is the right next mode</w:t>
      </w:r>
    </w:p>
    <w:p>
      <w:r>
        <w:rPr>
          <w:rFonts w:ascii="Calibri" w:hAnsi="Calibri"/>
          <w:b w:val="0"/>
          <w:sz w:val="22"/>
        </w:rPr>
        <w:t>TextLens can identify passages, map them to source families, and generate cautious review prompts. It should not replace domain judgement.</w:t>
      </w:r>
    </w:p>
    <w:p>
      <w:pPr>
        <w:pStyle w:val="Heading1"/>
      </w:pPr>
      <w:r>
        <w:t>Implementation Notes</w:t>
      </w:r>
    </w:p>
    <w:p>
      <w:r>
        <w:rPr>
          <w:rFonts w:ascii="Calibri" w:hAnsi="Calibri"/>
          <w:b w:val="0"/>
          <w:sz w:val="22"/>
        </w:rPr>
        <w:t>Current runtime implementation: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src/analysis/policies/modePolicies.ts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src/analysis/rules/sourceRules.ts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src/analysis/rules/taxonomyMappings.ts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src/analysis/engine/stagedAnalysis.ts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src/sourceCatalog.ts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src/taxonomyData.ts</w:t>
      </w:r>
    </w:p>
    <w:p>
      <w:r>
        <w:rPr>
          <w:rFonts w:ascii="Calibri" w:hAnsi="Calibri"/>
          <w:b w:val="0"/>
          <w:sz w:val="22"/>
        </w:rPr>
        <w:t>The current staged engine: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extracts candidate passages from the submitted text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screens protected political speech guardrails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classifies surviving passages against allowed taxonomy items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maps findings to source families in code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scores and aggregates findings in code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asks the model only for structured classification and synthesis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validates quotes and source scope before returning a report</w:t>
      </w:r>
    </w:p>
    <w:p>
      <w:pPr>
        <w:pStyle w:val="Heading1"/>
      </w:pPr>
      <w:r>
        <w:t>Current Design Risks</w:t>
      </w:r>
    </w:p>
    <w:p>
      <w:r>
        <w:rPr>
          <w:rFonts w:ascii="Calibri" w:hAnsi="Calibri"/>
          <w:b w:val="0"/>
          <w:sz w:val="22"/>
        </w:rPr>
        <w:t>Healthcare mode still shares a broad TextLens taxonomy with other professional modes. That is useful for consistency, but it creates a risk that antisemitism/rhetorical categories can dominate healthcare-publication review unless the report clearly separates source families and finding types.</w:t>
      </w:r>
    </w:p>
    <w:p>
      <w:r>
        <w:rPr>
          <w:rFonts w:ascii="Calibri" w:hAnsi="Calibri"/>
          <w:b w:val="0"/>
          <w:sz w:val="22"/>
        </w:rPr>
        <w:t>The review-priority queue in the Literature Explorer is heuristic. It should not be described as evidence quality, article importance, or bias severity.</w:t>
      </w:r>
    </w:p>
    <w:p>
      <w:r>
        <w:rPr>
          <w:rFonts w:ascii="Calibri" w:hAnsi="Calibri"/>
          <w:b w:val="0"/>
          <w:sz w:val="22"/>
        </w:rPr>
        <w:t>The corpus currently stores metadata and abstracts. Abstract-only analysis is useful for triage, but findings about a full article should be limited unless the full text is supplied.</w:t>
      </w:r>
    </w:p>
    <w:p>
      <w:pPr>
        <w:pStyle w:val="Heading1"/>
      </w:pPr>
      <w:r>
        <w:t>Calibration Standard</w:t>
      </w:r>
    </w:p>
    <w:p>
      <w:r>
        <w:rPr>
          <w:rFonts w:ascii="Calibri" w:hAnsi="Calibri"/>
          <w:b w:val="0"/>
          <w:sz w:val="22"/>
        </w:rPr>
        <w:t>A good Healthcare mode finding should be: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tied to an exact quote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clear about the source family being used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narrow about what TextLens can and cannot infer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explicit about uncertainty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framed as a review prompt unless the text strongly supports a more confident conclusion</w:t>
      </w:r>
    </w:p>
    <w:p>
      <w:r>
        <w:rPr>
          <w:rFonts w:ascii="Calibri" w:hAnsi="Calibri"/>
          <w:b w:val="0"/>
          <w:sz w:val="22"/>
        </w:rPr>
        <w:t>If a finding would require outside facts, journal correspondence, peer-review history, military facts, or legal adjudication, Healthcare mode should say what needs to be checked rather than pretending to know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Markdown source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docs/healthcare-mode-basis.md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Implementation anchor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src/analysis/policies/modePolicies.ts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794"/>
        <w:sz w:val="16"/>
      </w:rPr>
      <w:t>TextLens Healthcare Mode Basis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LensTitle">
    <w:name w:val="TextLens Title"/>
    <w:pPr>
      <w:spacing w:before="0" w:after="80" w:line="264" w:lineRule="auto"/>
    </w:pPr>
    <w:rPr>
      <w:rFonts w:ascii="Calibri" w:hAnsi="Calibri"/>
      <w:b/>
      <w:color w:val="0B2545"/>
      <w:sz w:val="40"/>
    </w:rPr>
  </w:style>
  <w:style w:type="paragraph" w:customStyle="1" w:styleId="TextLensSubtitle">
    <w:name w:val="TextLens Subtitle"/>
    <w:pPr>
      <w:spacing w:before="0" w:after="280" w:line="264" w:lineRule="auto"/>
    </w:pPr>
    <w:rPr>
      <w:rFonts w:ascii="Calibri" w:hAnsi="Calibri"/>
      <w:b w:val="0"/>
      <w:color w:val="5B677A"/>
      <w:sz w:val="22"/>
    </w:rPr>
  </w:style>
  <w:style w:type="paragraph" w:customStyle="1" w:styleId="TextLensCallout">
    <w:name w:val="TextLens Callout"/>
    <w:pPr>
      <w:spacing w:before="80" w:after="200" w:line="264" w:lineRule="auto"/>
    </w:pPr>
    <w:rPr>
      <w:rFonts w:ascii="Calibri" w:hAnsi="Calibri"/>
      <w:b w:val="0"/>
      <w:color w:val="1F3A5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