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D284" w14:textId="77777777" w:rsidR="006F3D27" w:rsidRDefault="006F3D27" w:rsidP="006F3D27">
      <w:pPr>
        <w:pStyle w:val="NormalWeb"/>
      </w:pPr>
    </w:p>
    <w:p w14:paraId="178CC7D4" w14:textId="77777777" w:rsidR="006F3D27" w:rsidRPr="008A6F75" w:rsidRDefault="006F3D27" w:rsidP="006F3D27">
      <w:pPr>
        <w:pStyle w:val="NormalWeb"/>
      </w:pPr>
      <w:r w:rsidRPr="008A6F75">
        <w:t xml:space="preserve">   </w:t>
      </w:r>
      <w:r w:rsidRPr="008A6F75">
        <w:rPr>
          <w:b/>
          <w:bCs/>
        </w:rPr>
        <w:t xml:space="preserve">Download full CMS HCRIS 2552-10 hospital cost report files. </w:t>
      </w:r>
    </w:p>
    <w:p w14:paraId="0EDADA7F" w14:textId="77777777" w:rsidR="006F3D27" w:rsidRPr="008A6F75" w:rsidRDefault="006F3D27" w:rsidP="006F3D27">
      <w:pPr>
        <w:pStyle w:val="NormalWeb"/>
        <w:numPr>
          <w:ilvl w:val="0"/>
          <w:numId w:val="1"/>
        </w:numPr>
        <w:rPr>
          <w:b/>
          <w:bCs/>
        </w:rPr>
      </w:pPr>
      <w:r w:rsidRPr="008A6F75">
        <w:rPr>
          <w:b/>
          <w:bCs/>
        </w:rPr>
        <w:t xml:space="preserve">Classify hospitals by provider type: urban/rural, CAH/non-CAH, teaching/non-teaching, nonprofit/for-profit/public, safety-net proxy, high outpatient share, high Medicaid share. </w:t>
      </w:r>
    </w:p>
    <w:p w14:paraId="7CFD02BD" w14:textId="77777777" w:rsidR="006F3D27" w:rsidRPr="008A6F75" w:rsidRDefault="006F3D27" w:rsidP="006F3D27">
      <w:pPr>
        <w:pStyle w:val="NormalWeb"/>
        <w:numPr>
          <w:ilvl w:val="0"/>
          <w:numId w:val="1"/>
        </w:numPr>
        <w:rPr>
          <w:b/>
          <w:bCs/>
        </w:rPr>
      </w:pPr>
      <w:r w:rsidRPr="008A6F75">
        <w:rPr>
          <w:b/>
          <w:bCs/>
        </w:rPr>
        <w:t xml:space="preserve">Merge AHA Annual Survey for ownership, systems, services, staffing, utilization, and hospital characteristics. </w:t>
      </w:r>
    </w:p>
    <w:p w14:paraId="115F0D3E" w14:textId="77777777" w:rsidR="006F3D27" w:rsidRPr="008A6F75" w:rsidRDefault="006F3D27" w:rsidP="006F3D27">
      <w:pPr>
        <w:pStyle w:val="NormalWeb"/>
        <w:numPr>
          <w:ilvl w:val="0"/>
          <w:numId w:val="1"/>
        </w:numPr>
        <w:rPr>
          <w:b/>
          <w:bCs/>
        </w:rPr>
      </w:pPr>
      <w:r w:rsidRPr="008A6F75">
        <w:rPr>
          <w:b/>
          <w:bCs/>
        </w:rPr>
        <w:t xml:space="preserve">Use HCCI/FAIR to estimate site-of-service price reset: HOPD vs ASC vs physician office vs independent lab/imaging. </w:t>
      </w:r>
    </w:p>
    <w:p w14:paraId="068BAB50" w14:textId="77777777" w:rsidR="006F3D27" w:rsidRPr="008A6F75" w:rsidRDefault="006F3D27" w:rsidP="006F3D27">
      <w:pPr>
        <w:pStyle w:val="NormalWeb"/>
        <w:numPr>
          <w:ilvl w:val="0"/>
          <w:numId w:val="1"/>
        </w:numPr>
        <w:rPr>
          <w:b/>
          <w:bCs/>
        </w:rPr>
      </w:pPr>
      <w:r w:rsidRPr="008A6F75">
        <w:rPr>
          <w:b/>
          <w:bCs/>
        </w:rPr>
        <w:t xml:space="preserve">Use HCUP NEDS for avoidable ED/treat-and-release ED allocation. </w:t>
      </w:r>
    </w:p>
    <w:p w14:paraId="3737E0D9" w14:textId="77777777" w:rsidR="006F3D27" w:rsidRPr="008A6F75" w:rsidRDefault="006F3D27" w:rsidP="006F3D27">
      <w:pPr>
        <w:pStyle w:val="NormalWeb"/>
        <w:numPr>
          <w:ilvl w:val="0"/>
          <w:numId w:val="1"/>
        </w:numPr>
        <w:rPr>
          <w:b/>
          <w:bCs/>
        </w:rPr>
      </w:pPr>
      <w:r w:rsidRPr="008A6F75">
        <w:rPr>
          <w:b/>
          <w:bCs/>
        </w:rPr>
        <w:t xml:space="preserve">Use MACPAC/AHA for uncompensated care, DSH, bad debt, and safety-net exposure. </w:t>
      </w:r>
    </w:p>
    <w:p w14:paraId="75B9B4ED" w14:textId="77777777" w:rsidR="006F3D27" w:rsidRPr="008A6F75" w:rsidRDefault="006F3D27" w:rsidP="006F3D27">
      <w:pPr>
        <w:pStyle w:val="NormalWeb"/>
        <w:numPr>
          <w:ilvl w:val="0"/>
          <w:numId w:val="1"/>
        </w:numPr>
        <w:rPr>
          <w:b/>
          <w:bCs/>
        </w:rPr>
      </w:pPr>
      <w:r w:rsidRPr="008A6F75">
        <w:rPr>
          <w:b/>
          <w:bCs/>
        </w:rPr>
        <w:t xml:space="preserve">Produce 2026, 2030, 2035, and 10-year totals. </w:t>
      </w:r>
    </w:p>
    <w:p w14:paraId="705EEEF7" w14:textId="77777777" w:rsidR="006F3D27" w:rsidRPr="008A6F75" w:rsidRDefault="006F3D27" w:rsidP="006F3D27">
      <w:pPr>
        <w:pStyle w:val="NormalWeb"/>
        <w:rPr>
          <w:b/>
          <w:bCs/>
        </w:rPr>
      </w:pPr>
      <w:r w:rsidRPr="008A6F75">
        <w:rPr>
          <w:b/>
          <w:bCs/>
        </w:rPr>
        <w:t>Output: real provider-class scoring.</w:t>
      </w:r>
    </w:p>
    <w:p w14:paraId="31487096" w14:textId="77777777" w:rsidR="00D254D0" w:rsidRDefault="00D254D0"/>
    <w:sectPr w:rsidR="00D25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44A6E"/>
    <w:multiLevelType w:val="multilevel"/>
    <w:tmpl w:val="446E8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591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27"/>
    <w:rsid w:val="006B0EAC"/>
    <w:rsid w:val="006F3D27"/>
    <w:rsid w:val="00813A0E"/>
    <w:rsid w:val="00A314A2"/>
    <w:rsid w:val="00D254D0"/>
    <w:rsid w:val="00F4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69267"/>
  <w15:chartTrackingRefBased/>
  <w15:docId w15:val="{A35FED89-93CF-4FB8-ABB8-E1906C519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D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F3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606</Characters>
  <Application>Microsoft Office Word</Application>
  <DocSecurity>0</DocSecurity>
  <Lines>11</Lines>
  <Paragraphs>4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 Alphson</dc:creator>
  <cp:keywords/>
  <dc:description/>
  <cp:lastModifiedBy>Bennett Alphson</cp:lastModifiedBy>
  <cp:revision>1</cp:revision>
  <dcterms:created xsi:type="dcterms:W3CDTF">2026-05-13T02:03:00Z</dcterms:created>
  <dcterms:modified xsi:type="dcterms:W3CDTF">2026-05-13T02:03:00Z</dcterms:modified>
</cp:coreProperties>
</file>