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1.png" ContentType="image/png"/>
  <Override PartName="/word/media/rId42.png" ContentType="image/png"/>
  <Override PartName="/word/media/rId22.png" ContentType="image/png"/>
  <Override PartName="/word/media/rId25.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Forecasting</w:t>
      </w:r>
      <w:r>
        <w:t xml:space="preserve"> </w:t>
      </w:r>
      <w:r>
        <w:t xml:space="preserve">of</w:t>
      </w:r>
      <w:r>
        <w:t xml:space="preserve"> </w:t>
      </w:r>
      <w:r>
        <w:t xml:space="preserve">individual’s</w:t>
      </w:r>
      <w:r>
        <w:t xml:space="preserve"> </w:t>
      </w:r>
      <w:r>
        <w:t xml:space="preserve">deposits</w:t>
      </w:r>
      <w:r>
        <w:t xml:space="preserve"> </w:t>
      </w:r>
      <w:r>
        <w:t xml:space="preserve">volume</w:t>
      </w:r>
      <w:r>
        <w:t xml:space="preserve"> </w:t>
      </w:r>
      <w:r>
        <w:t xml:space="preserve">of</w:t>
      </w:r>
      <w:r>
        <w:t xml:space="preserve"> </w:t>
      </w:r>
      <w:r>
        <w:t xml:space="preserve">Sberbank</w:t>
      </w:r>
      <w:r>
        <w:t xml:space="preserve"> </w:t>
      </w:r>
      <w:r>
        <w:t xml:space="preserve">with</w:t>
      </w:r>
      <w:r>
        <w:t xml:space="preserve"> </w:t>
      </w:r>
      <w:r>
        <w:t xml:space="preserve">respect</w:t>
      </w:r>
      <w:r>
        <w:t xml:space="preserve"> </w:t>
      </w:r>
      <w:r>
        <w:t xml:space="preserve">to</w:t>
      </w:r>
      <w:r>
        <w:t xml:space="preserve"> </w:t>
      </w:r>
      <w:r>
        <w:t xml:space="preserve">weighted</w:t>
      </w:r>
      <w:r>
        <w:t xml:space="preserve"> </w:t>
      </w:r>
      <w:r>
        <w:t xml:space="preserve">rates</w:t>
      </w:r>
      <w:r>
        <w:t xml:space="preserve"> </w:t>
      </w:r>
      <w:r>
        <w:t xml:space="preserve">and</w:t>
      </w:r>
      <w:r>
        <w:t xml:space="preserve"> </w:t>
      </w:r>
      <w:r>
        <w:t xml:space="preserve">macroeconomic</w:t>
      </w:r>
      <w:r>
        <w:t xml:space="preserve"> </w:t>
      </w:r>
      <w:r>
        <w:t xml:space="preserve">indicators</w:t>
      </w:r>
      <w:r>
        <w:t xml:space="preserve">”</w:t>
      </w:r>
    </w:p>
    <w:p>
      <w:pPr>
        <w:pStyle w:val="Author"/>
      </w:pPr>
      <w:r>
        <w:t xml:space="preserve">CosmoGalya</w:t>
      </w:r>
    </w:p>
    <w:p>
      <w:pPr>
        <w:pStyle w:val="Date"/>
      </w:pPr>
      <w:r>
        <w:t xml:space="preserve">3/12/2020</w:t>
      </w:r>
    </w:p>
    <w:p>
      <w:pPr>
        <w:pStyle w:val="FirstParagraph"/>
      </w:pPr>
      <w:r>
        <w:t xml:space="preserve">Theme of our forecasting project is</w:t>
      </w:r>
      <w:r>
        <w:t xml:space="preserve"> </w:t>
      </w:r>
      <w:r>
        <w:t xml:space="preserve">“</w:t>
      </w:r>
      <w:r>
        <w:t xml:space="preserve">Forecasting of individual’s deposits volume of Sberbank with respect to weighted rates and macroeconomic indicators</w:t>
      </w:r>
      <w:r>
        <w:t xml:space="preserve">”</w:t>
      </w:r>
      <w:r>
        <w:t xml:space="preserve">.</w:t>
      </w:r>
      <w:r>
        <w:t xml:space="preserve"> </w:t>
      </w:r>
      <w:r>
        <w:t xml:space="preserve">Firstly, we have to explain the terminology.</w:t>
      </w:r>
      <w:r>
        <w:t xml:space="preserve"> </w:t>
      </w:r>
      <w:r>
        <w:t xml:space="preserve">Under weighted rates state for weighted deposit rates in Russian banking industry without Sberbank ones.</w:t>
      </w:r>
    </w:p>
    <w:p>
      <w:pPr>
        <w:pStyle w:val="Heading3"/>
      </w:pPr>
      <w:bookmarkStart w:id="20" w:name="X148b73c7d90b4e86bad3b230724c4b9f43abbd1"/>
      <w:r>
        <w:t xml:space="preserve">Data description and preparation procedures</w:t>
      </w:r>
      <w:bookmarkEnd w:id="20"/>
    </w:p>
    <w:p>
      <w:pPr>
        <w:pStyle w:val="FirstParagraph"/>
      </w:pPr>
      <w:r>
        <w:t xml:space="preserve">Our data is presented with volume of Sberbank deposits in rubles and macroeconomic indicators as inflation, key rate and USD/RUB exchange rate.</w:t>
      </w:r>
      <w:r>
        <w:t xml:space="preserve"> </w:t>
      </w:r>
      <w:r>
        <w:t xml:space="preserve">On the graph below our data is presented ASIS.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non-stationarity of our time series (TS) and structural break in 2015 can be easily seen from the visualization above. ACF and PACF were constructed only for Deposits data, other variables’ ACF and PACF can be found in appendix.</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structural break we have to be careful about was in December, 2014 due to the change in central bank monetary policy: transition to float free-float exchange rate and inflation targeting policy.</w:t>
      </w:r>
    </w:p>
    <w:p>
      <w:pPr>
        <w:pStyle w:val="BodyText"/>
      </w:pPr>
      <w:r>
        <w:drawing>
          <wp:inline>
            <wp:extent cx="5334000" cy="3888421"/>
            <wp:effectExtent b="0" l="0" r="0" t="0"/>
            <wp:docPr descr="" title="" id="1" name="Picture"/>
            <a:graphic>
              <a:graphicData uri="http://schemas.openxmlformats.org/drawingml/2006/picture">
                <pic:pic>
                  <pic:nvPicPr>
                    <pic:cNvPr descr="Deposits.png" id="0" name="Picture"/>
                    <pic:cNvPicPr>
                      <a:picLocks noChangeArrowheads="1" noChangeAspect="1"/>
                    </pic:cNvPicPr>
                  </pic:nvPicPr>
                  <pic:blipFill>
                    <a:blip r:embed="rId23"/>
                    <a:stretch>
                      <a:fillRect/>
                    </a:stretch>
                  </pic:blipFill>
                  <pic:spPr bwMode="auto">
                    <a:xfrm>
                      <a:off x="0" y="0"/>
                      <a:ext cx="5334000" cy="3888421"/>
                    </a:xfrm>
                    <a:prstGeom prst="rect">
                      <a:avLst/>
                    </a:prstGeom>
                    <a:noFill/>
                    <a:ln w="9525">
                      <a:noFill/>
                      <a:headEnd/>
                      <a:tailEnd/>
                    </a:ln>
                  </pic:spPr>
                </pic:pic>
              </a:graphicData>
            </a:graphic>
          </wp:inline>
        </w:drawing>
      </w:r>
      <w:r>
        <w:drawing>
          <wp:inline>
            <wp:extent cx="5334000" cy="3888421"/>
            <wp:effectExtent b="0" l="0" r="0" t="0"/>
            <wp:docPr descr="" title="" id="1" name="Picture"/>
            <a:graphic>
              <a:graphicData uri="http://schemas.openxmlformats.org/drawingml/2006/picture">
                <pic:pic>
                  <pic:nvPicPr>
                    <pic:cNvPr descr="Keynote.png" id="0" name="Picture"/>
                    <pic:cNvPicPr>
                      <a:picLocks noChangeArrowheads="1" noChangeAspect="1"/>
                    </pic:cNvPicPr>
                  </pic:nvPicPr>
                  <pic:blipFill>
                    <a:blip r:embed="rId24"/>
                    <a:stretch>
                      <a:fillRect/>
                    </a:stretch>
                  </pic:blipFill>
                  <pic:spPr bwMode="auto">
                    <a:xfrm>
                      <a:off x="0" y="0"/>
                      <a:ext cx="5334000" cy="3888421"/>
                    </a:xfrm>
                    <a:prstGeom prst="rect">
                      <a:avLst/>
                    </a:prstGeom>
                    <a:noFill/>
                    <a:ln w="9525">
                      <a:noFill/>
                      <a:headEnd/>
                      <a:tailEnd/>
                    </a:ln>
                  </pic:spPr>
                </pic:pic>
              </a:graphicData>
            </a:graphic>
          </wp:inline>
        </w:drawing>
      </w:r>
    </w:p>
    <w:p>
      <w:pPr>
        <w:pStyle w:val="BodyText"/>
      </w:pPr>
      <w:r>
        <w:t xml:space="preserve">In order to overcome problems in raw data, several test and procedures like Box-Cox procedure were provided to transform the data.</w:t>
      </w:r>
      <w:r>
        <w:t xml:space="preserve"> </w:t>
      </w:r>
      <w:r>
        <w:t xml:space="preserve">According to the Box-Cox test results our data was transformed in following way: weighted, key rates and deposits: replaced with thier logarithms, USD/RUB with its inverse square root and inflation as it is.</w:t>
      </w:r>
      <w:r>
        <w:t xml:space="preserve"> </w:t>
      </w:r>
      <w:r>
        <w:t xml:space="preserve">The estimation of Box-Cox lambda you may find in chart 1.</w:t>
      </w:r>
    </w:p>
    <w:tbl>
      <w:tblPr>
        <w:tblStyle w:val="Table"/>
        <w:tblW w:type="pct" w:w="4374.999999999999"/>
        <w:tblLook w:firstRow="1"/>
      </w:tblPr>
      <w:tblGrid>
        <w:gridCol w:w="1650"/>
        <w:gridCol w:w="1760"/>
        <w:gridCol w:w="1100"/>
        <w:gridCol w:w="1100"/>
        <w:gridCol w:w="1320"/>
      </w:tblGrid>
      <w:tr>
        <w:trPr>
          <w:cnfStyle w:firstRow="1"/>
        </w:trPr>
        <w:tc>
          <w:tcPr>
            <w:tcBorders>
              <w:bottom w:val="single"/>
            </w:tcBorders>
            <w:vAlign w:val="bottom"/>
          </w:tcPr>
          <w:p>
            <w:pPr>
              <w:pStyle w:val="Compact"/>
              <w:jc w:val="center"/>
            </w:pPr>
            <w:r>
              <w:t xml:space="preserve">Deposits_ind</w:t>
            </w:r>
          </w:p>
        </w:tc>
        <w:tc>
          <w:tcPr>
            <w:tcBorders>
              <w:bottom w:val="single"/>
            </w:tcBorders>
            <w:vAlign w:val="bottom"/>
          </w:tcPr>
          <w:p>
            <w:pPr>
              <w:pStyle w:val="Compact"/>
              <w:jc w:val="center"/>
            </w:pPr>
            <w:r>
              <w:t xml:space="preserve">Weighted_rate</w:t>
            </w:r>
          </w:p>
        </w:tc>
        <w:tc>
          <w:tcPr>
            <w:tcBorders>
              <w:bottom w:val="single"/>
            </w:tcBorders>
            <w:vAlign w:val="bottom"/>
          </w:tcPr>
          <w:p>
            <w:pPr>
              <w:pStyle w:val="Compact"/>
              <w:jc w:val="center"/>
            </w:pPr>
            <w:r>
              <w:t xml:space="preserve">USDRUB</w:t>
            </w:r>
          </w:p>
        </w:tc>
        <w:tc>
          <w:tcPr>
            <w:tcBorders>
              <w:bottom w:val="single"/>
            </w:tcBorders>
            <w:vAlign w:val="bottom"/>
          </w:tcPr>
          <w:p>
            <w:pPr>
              <w:pStyle w:val="Compact"/>
              <w:jc w:val="center"/>
            </w:pPr>
            <w:r>
              <w:t xml:space="preserve">KeyRate</w:t>
            </w:r>
          </w:p>
        </w:tc>
        <w:tc>
          <w:tcPr>
            <w:tcBorders>
              <w:bottom w:val="single"/>
            </w:tcBorders>
            <w:vAlign w:val="bottom"/>
          </w:tcPr>
          <w:p>
            <w:pPr>
              <w:pStyle w:val="Compact"/>
              <w:jc w:val="center"/>
            </w:pPr>
            <w:r>
              <w:t xml:space="preserve">Inflation</w:t>
            </w:r>
          </w:p>
        </w:tc>
      </w:tr>
      <w:tr>
        <w:tc>
          <w:p>
            <w:pPr>
              <w:pStyle w:val="Compact"/>
              <w:jc w:val="center"/>
            </w:pPr>
            <w:r>
              <w:t xml:space="preserve">0.0332</w:t>
            </w:r>
          </w:p>
        </w:tc>
        <w:tc>
          <w:p>
            <w:pPr>
              <w:pStyle w:val="Compact"/>
              <w:jc w:val="center"/>
            </w:pPr>
            <w:r>
              <w:t xml:space="preserve">-0.1469</w:t>
            </w:r>
          </w:p>
        </w:tc>
        <w:tc>
          <w:p>
            <w:pPr>
              <w:pStyle w:val="Compact"/>
              <w:jc w:val="center"/>
            </w:pPr>
            <w:r>
              <w:t xml:space="preserve">-0.4828</w:t>
            </w:r>
          </w:p>
        </w:tc>
        <w:tc>
          <w:p>
            <w:pPr>
              <w:pStyle w:val="Compact"/>
              <w:jc w:val="center"/>
            </w:pPr>
            <w:r>
              <w:t xml:space="preserve">-0.9999</w:t>
            </w:r>
          </w:p>
        </w:tc>
        <w:tc>
          <w:p>
            <w:pPr>
              <w:pStyle w:val="Compact"/>
              <w:jc w:val="center"/>
            </w:pPr>
            <w:r>
              <w:t xml:space="preserve">0.8182</w:t>
            </w:r>
          </w:p>
        </w:tc>
      </w:tr>
    </w:tbl>
    <w:p>
      <w:pPr>
        <w:pStyle w:val="BodyText"/>
      </w:pPr>
      <w:r>
        <w:t xml:space="preserve">We use auto.arima function in R to automatically select ARIMA model specification. The number of unit roots in the model is automatically checked using standard ADF test.</w:t>
      </w:r>
      <w:r>
        <w:t xml:space="preserve"> </w:t>
      </w:r>
      <w:r>
        <w:t xml:space="preserve">As we cannot be sure for 100% in our data-stationarity from visual analysis (ACF, PACF analysis), ADF-tests are presented on chart 2.</w:t>
      </w:r>
      <w:r>
        <w:t xml:space="preserve"> </w:t>
      </w:r>
      <w:r>
        <w:t xml:space="preserve">Even with ADF test you cannot be sure in anything, but anyway. :)</w:t>
      </w:r>
    </w:p>
    <w:p>
      <w:pPr>
        <w:pStyle w:val="SourceCode"/>
      </w:pPr>
      <w:r>
        <w:rPr>
          <w:rStyle w:val="VerbatimChar"/>
        </w:rPr>
        <w:t xml:space="preserve">Augmented Dickey-Fuller Test</w:t>
      </w:r>
    </w:p>
    <w:p>
      <w:pPr>
        <w:pStyle w:val="FirstParagraph"/>
      </w:pPr>
      <w:r>
        <w:t xml:space="preserve">data: diff_log_dep</w:t>
      </w:r>
      <w:r>
        <w:t xml:space="preserve"> </w:t>
      </w:r>
      <w:r>
        <w:t xml:space="preserve">Dickey-Fuller = -4.0949, Lag order = 4, p-value = 0.01</w:t>
      </w:r>
      <w:r>
        <w:t xml:space="preserve"> </w:t>
      </w:r>
      <w:r>
        <w:t xml:space="preserve">alternative hypothesis: stationary</w:t>
      </w:r>
    </w:p>
    <w:p>
      <w:pPr>
        <w:pStyle w:val="TableCaption"/>
      </w:pPr>
      <w:r>
        <w:t xml:space="preserve">Augmented Dickey-Fuller Test:</w:t>
      </w:r>
      <w:r>
        <w:t xml:space="preserve"> </w:t>
      </w:r>
      <w:r>
        <w:rPr>
          <w:rStyle w:val="VerbatimChar"/>
        </w:rPr>
        <w:t xml:space="preserve">diff_log_dep</w:t>
      </w:r>
    </w:p>
    <w:tbl>
      <w:tblPr>
        <w:tblStyle w:val="Table"/>
        <w:tblW w:type="pct" w:w="4513.888888888889"/>
        <w:tblLook w:firstRow="1"/>
        <w:tblCaption w:val="Augmented Dickey-Fuller Test: diff_log_dep"/>
      </w:tblPr>
      <w:tblGrid>
        <w:gridCol w:w="1870"/>
        <w:gridCol w:w="1320"/>
        <w:gridCol w:w="121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Lag order</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-4.095</w:t>
            </w:r>
          </w:p>
        </w:tc>
        <w:tc>
          <w:p>
            <w:pPr>
              <w:pStyle w:val="Compact"/>
              <w:jc w:val="center"/>
            </w:pPr>
            <w:r>
              <w:t xml:space="preserve">4</w:t>
            </w:r>
          </w:p>
        </w:tc>
        <w:tc>
          <w:p>
            <w:pPr>
              <w:pStyle w:val="Compact"/>
              <w:jc w:val="center"/>
            </w:pPr>
            <w:r>
              <w:t xml:space="preserve">0.01 * *</w:t>
            </w:r>
          </w:p>
        </w:tc>
        <w:tc>
          <w:p>
            <w:pPr>
              <w:pStyle w:val="Compact"/>
              <w:jc w:val="center"/>
            </w:pPr>
            <w:r>
              <w:t xml:space="preserve">stationary</w:t>
            </w:r>
          </w:p>
        </w:tc>
      </w:tr>
    </w:tbl>
    <w:p>
      <w:pPr>
        <w:pStyle w:val="BodyText"/>
      </w:pPr>
      <w:r>
        <w:t xml:space="preserve">Then our data was splited into train and test in the following manner: train starts from Jan, 2010 and ends in Dec, 2016; test starts Jan, 2017 and ends in Dec, 2019.</w:t>
      </w:r>
      <w:r>
        <w:t xml:space="preserve"> </w:t>
      </w:r>
      <w:r>
        <w:t xml:space="preserve">We defined our forecast-horizon to be equal to 12 months, or 365 days, or 8760 hours, or 525,6 kmin, or 31,536 msec using SI-system.</w:t>
      </w:r>
      <w:r>
        <w:t xml:space="preserve"> </w:t>
      </w:r>
      <w:r>
        <w:t xml:space="preserve">As a result of strucchange R package searches it was decided to add a dummy-variable to our analysis in order to solve the problem of structural break in Dec, 2014 without data elimination (unfortunately, there is lack of data from the very beginning:</w:t>
      </w:r>
      <w:r>
        <w:t xml:space="preserve"> </w:t>
      </w:r>
      <w:r>
        <w:rPr>
          <w:strike/>
        </w:rPr>
        <w:t xml:space="preserve">need more data to God of Data</w:t>
      </w:r>
      <w:r>
        <w:t xml:space="preserve">).</w:t>
      </w:r>
      <w:r>
        <w:t xml:space="preserve"> </w:t>
      </w:r>
      <w:r>
        <w:t xml:space="preserve">Then seasonality of our data was checked – no seasonality was found, but X-13 ARIMA has found it.</w:t>
      </w:r>
      <w:r>
        <w:t xml:space="preserve"> </w:t>
      </w:r>
      <w:r>
        <w:t xml:space="preserve">We believe to X-13 ARIMA, because it was developed by US Census Bureau and Bank of Spain, they are cool guys.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ime-series-analysis"/>
      <w:r>
        <w:t xml:space="preserve">Time series analysis</w:t>
      </w:r>
      <w:bookmarkEnd w:id="26"/>
    </w:p>
    <w:p>
      <w:pPr>
        <w:pStyle w:val="FirstParagraph"/>
      </w:pPr>
      <w:r>
        <w:t xml:space="preserve">Time series analysis consists of two global parts: Naïve forecasting and Model based forecasting.</w:t>
      </w:r>
    </w:p>
    <w:p>
      <w:pPr>
        <w:pStyle w:val="Heading4"/>
      </w:pPr>
      <w:bookmarkStart w:id="27" w:name="naïve-forecasting"/>
      <w:r>
        <w:t xml:space="preserve">Naïve forecasting</w:t>
      </w:r>
      <w:bookmarkEnd w:id="27"/>
    </w:p>
    <w:p>
      <w:pPr>
        <w:pStyle w:val="FirstParagraph"/>
      </w:pPr>
      <w:r>
        <w:t xml:space="preserve">Firstly we calculated naïve and snaïve forecasts that gave us following graphs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main idea of those methods is that tomorrow’s value is equal to today’s value.</w:t>
      </w:r>
      <w:r>
        <w:t xml:space="preserve"> </w:t>
      </w:r>
      <w:r>
        <w:t xml:space="preserve">This tendency is being kept for a long-run as there is no adjustment to external factors or whole dynamics of TS in this methodology.</w:t>
      </w:r>
      <w:r>
        <w:t xml:space="preserve"> </w:t>
      </w:r>
      <w:r>
        <w:t xml:space="preserve">Naïve method usually used for comparison with more complex forecasting methods as a benchmark.</w:t>
      </w:r>
      <w:r>
        <w:t xml:space="preserve"> </w:t>
      </w:r>
      <w:r>
        <w:t xml:space="preserve">Seasonal naïve method has similar core idea but it is used for highly seasonal data.</w:t>
      </w:r>
    </w:p>
    <w:p>
      <w:pPr>
        <w:pStyle w:val="BodyText"/>
      </w:pPr>
      <w:r>
        <w:t xml:space="preserve">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sub>
          </m:sSub>
        </m:oMath>
      </m:oMathPara>
    </w:p>
    <w:p>
      <w:pPr>
        <w:pStyle w:val="FirstParagraph"/>
      </w:pPr>
      <w:r>
        <w:t xml:space="preserve">Seasonal 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r>
                <m:t>+</m:t>
              </m:r>
              <m:r>
                <m:t>h</m:t>
              </m:r>
              <m:r>
                <m:t>×</m:t>
              </m:r>
              <m:r>
                <m:t>s</m:t>
              </m:r>
              <m:r>
                <m:t>(</m:t>
              </m:r>
              <m:r>
                <m:t>k</m:t>
              </m:r>
              <m:r>
                <m:t>+</m:t>
              </m:r>
              <m:r>
                <m:t>1</m:t>
              </m:r>
              <m:r>
                <m:t>)</m:t>
              </m:r>
            </m:sub>
          </m:sSub>
        </m:oMath>
      </m:oMathPara>
    </w:p>
    <w:p>
      <w:pPr>
        <w:pStyle w:val="FirstParagraph"/>
      </w:pPr>
      <w:r>
        <w:t xml:space="preserve">s - seasonal period, k - seasonal frequency coef.</w:t>
      </w:r>
    </w:p>
    <w:p>
      <w:pPr>
        <w:pStyle w:val="BodyText"/>
      </w:pPr>
      <w:r>
        <w:t xml:space="preserve">To compare out-of-sample forecasting accuracy we use RMSE measure.</w:t>
      </w:r>
    </w:p>
    <w:p>
      <w:pPr>
        <w:pStyle w:val="TableCaption"/>
      </w:pPr>
      <w:r>
        <w:t xml:space="preserve">Table continues below</w:t>
      </w:r>
    </w:p>
    <w:tbl>
      <w:tblPr>
        <w:tblStyle w:val="Table"/>
        <w:tblW w:type="pct" w:w="5000.0"/>
        <w:tblLook w:firstRow="1"/>
        <w:tblCaption w:val="Table continues below"/>
      </w:tblPr>
      <w:tblGrid>
        <w:gridCol w:w="1929"/>
        <w:gridCol w:w="1015"/>
        <w:gridCol w:w="1015"/>
        <w:gridCol w:w="913"/>
        <w:gridCol w:w="1015"/>
        <w:gridCol w:w="1015"/>
        <w:gridCol w:w="1015"/>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r>
      <w:tr>
        <w:tc>
          <w:p>
            <w:pPr>
              <w:pStyle w:val="Compact"/>
              <w:jc w:val="center"/>
            </w:pPr>
            <w:r>
              <w:rPr>
                <w:b/>
              </w:rPr>
              <w:t xml:space="preserve">Training set</w:t>
            </w:r>
          </w:p>
        </w:tc>
        <w:tc>
          <w:p>
            <w:pPr>
              <w:pStyle w:val="Compact"/>
              <w:jc w:val="center"/>
            </w:pPr>
            <w:r>
              <w:t xml:space="preserve">0.01256</w:t>
            </w:r>
          </w:p>
        </w:tc>
        <w:tc>
          <w:p>
            <w:pPr>
              <w:pStyle w:val="Compact"/>
              <w:jc w:val="center"/>
            </w:pPr>
            <w:r>
              <w:t xml:space="preserve">0.01733</w:t>
            </w:r>
          </w:p>
        </w:tc>
        <w:tc>
          <w:p>
            <w:pPr>
              <w:pStyle w:val="Compact"/>
              <w:jc w:val="center"/>
            </w:pPr>
            <w:r>
              <w:t xml:space="preserve">0.0137</w:t>
            </w:r>
          </w:p>
        </w:tc>
        <w:tc>
          <w:p>
            <w:pPr>
              <w:pStyle w:val="Compact"/>
              <w:jc w:val="center"/>
            </w:pPr>
            <w:r>
              <w:t xml:space="preserve">0.05598</w:t>
            </w:r>
          </w:p>
        </w:tc>
        <w:tc>
          <w:p>
            <w:pPr>
              <w:pStyle w:val="Compact"/>
              <w:jc w:val="center"/>
            </w:pPr>
            <w:r>
              <w:t xml:space="preserve">0.06096</w:t>
            </w:r>
          </w:p>
        </w:tc>
        <w:tc>
          <w:p>
            <w:pPr>
              <w:pStyle w:val="Compact"/>
              <w:jc w:val="center"/>
            </w:pPr>
            <w:r>
              <w:t xml:space="preserve">0.09017</w:t>
            </w:r>
          </w:p>
        </w:tc>
      </w:tr>
    </w:tbl>
    <w:tbl>
      <w:tblPr>
        <w:tblStyle w:val="Table"/>
        <w:tblW w:type="pct" w:w="2013.888888888889"/>
        <w:tblLook w:firstRow="1"/>
      </w:tblPr>
      <w:tblGrid>
        <w:gridCol w:w="209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0.04759</w:t>
            </w:r>
          </w:p>
        </w:tc>
      </w:tr>
    </w:tbl>
    <w:tbl>
      <w:tblPr>
        <w:tblStyle w:val="Table"/>
        <w:tblW w:type="pct" w:w="5000.0"/>
        <w:tblLook w:firstRow="1"/>
      </w:tblPr>
      <w:tblGrid>
        <w:gridCol w:w="1881"/>
        <w:gridCol w:w="891"/>
        <w:gridCol w:w="891"/>
        <w:gridCol w:w="891"/>
        <w:gridCol w:w="891"/>
        <w:gridCol w:w="891"/>
        <w:gridCol w:w="693"/>
        <w:gridCol w:w="89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0.1519</w:t>
            </w:r>
          </w:p>
        </w:tc>
        <w:tc>
          <w:p>
            <w:pPr>
              <w:pStyle w:val="Compact"/>
              <w:jc w:val="center"/>
            </w:pPr>
            <w:r>
              <w:t xml:space="preserve">0.1569</w:t>
            </w:r>
          </w:p>
        </w:tc>
        <w:tc>
          <w:p>
            <w:pPr>
              <w:pStyle w:val="Compact"/>
              <w:jc w:val="center"/>
            </w:pPr>
            <w:r>
              <w:t xml:space="preserve">0.1519</w:t>
            </w:r>
          </w:p>
        </w:tc>
        <w:tc>
          <w:p>
            <w:pPr>
              <w:pStyle w:val="Compact"/>
              <w:jc w:val="center"/>
            </w:pPr>
            <w:r>
              <w:t xml:space="preserve">0.6738</w:t>
            </w:r>
          </w:p>
        </w:tc>
        <w:tc>
          <w:p>
            <w:pPr>
              <w:pStyle w:val="Compact"/>
              <w:jc w:val="center"/>
            </w:pPr>
            <w:r>
              <w:t xml:space="preserve">0.6738</w:t>
            </w:r>
          </w:p>
        </w:tc>
        <w:tc>
          <w:p>
            <w:pPr>
              <w:pStyle w:val="Compact"/>
              <w:jc w:val="center"/>
            </w:pPr>
            <w:r>
              <w:t xml:space="preserve">1</w:t>
            </w:r>
          </w:p>
        </w:tc>
        <w:tc>
          <w:p>
            <w:pPr>
              <w:pStyle w:val="Compact"/>
              <w:jc w:val="center"/>
            </w:pPr>
            <w:r>
              <w:t xml:space="preserve">0.8516</w:t>
            </w:r>
          </w:p>
        </w:tc>
      </w:tr>
    </w:tbl>
    <w:p>
      <w:pPr>
        <w:pStyle w:val="Heading3"/>
      </w:pPr>
      <w:bookmarkStart w:id="29" w:name="models"/>
      <w:r>
        <w:t xml:space="preserve">Models</w:t>
      </w:r>
      <w:bookmarkEnd w:id="29"/>
    </w:p>
    <w:p>
      <w:pPr>
        <w:pStyle w:val="FirstParagraph"/>
      </w:pPr>
      <w:r>
        <w:t xml:space="preserve">Predictind accuracy of the models was compared with a help of RMSE.</w:t>
      </w:r>
      <w:r>
        <w:t xml:space="preserve"> </w:t>
      </w:r>
      <w:r>
        <w:t xml:space="preserve">We estimated ARIMA, ETS, ARIMAX, VAR, VAR with restriction (LASSO), VECM and RWD as benchmark.</w:t>
      </w:r>
      <w:r>
        <w:t xml:space="preserve"> </w:t>
      </w:r>
      <w:r>
        <w:t xml:space="preserve">RWD is a variation of naïve forecasting that includes drift as a average historical change during the data horison.</w:t>
      </w:r>
      <w:r>
        <w:t xml:space="preserve"> </w:t>
      </w:r>
      <w:r>
        <w:t xml:space="preserve">Visually it can be seen a tendency to growth in deposit value data.</w:t>
      </w:r>
    </w:p>
    <w:p>
      <w:pPr>
        <w:pStyle w:val="Heading4"/>
      </w:pPr>
      <w:bookmarkStart w:id="30" w:name="ets"/>
      <w:r>
        <w:t xml:space="preserve">ETS</w:t>
      </w:r>
      <w:bookmarkEnd w:id="30"/>
    </w:p>
    <w:p>
      <w:pPr>
        <w:pStyle w:val="FirstParagraph"/>
      </w:pPr>
      <w:r>
        <w:t xml:space="preserve">ETS model is Holt’s exponential smoothing method, that decomposes time series into trend, seasonal and error components.</w:t>
      </w:r>
      <w:r>
        <w:t xml:space="preserve"> </w:t>
      </w:r>
      <w:r>
        <w:t xml:space="preserve">There are several model specifications, depending on the form of each of these components.</w:t>
      </w:r>
      <w:r>
        <w:t xml:space="preserve"> </w:t>
      </w:r>
      <w:r>
        <w:t xml:space="preserve">We use automatical specification search each time we estimate the ETS model.</w:t>
      </w:r>
      <w:r>
        <w:t xml:space="preserve"> </w:t>
      </w:r>
      <w:r>
        <w:t xml:space="preserve">We do understand that for each train sample the model specification could be different.</w:t>
      </w:r>
      <w:r>
        <w:t xml:space="preserve"> </w:t>
      </w:r>
      <w:r>
        <w:t xml:space="preserve">It means that each forecast made on cross-validation could be generated by different ETS specifications.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majority of samples (</w:t>
      </w:r>
      <m:oMath>
        <m:r>
          <m:t>5</m:t>
        </m:r>
        <m:r>
          <m:t>/</m:t>
        </m:r>
        <m:r>
          <m:t>6</m:t>
        </m:r>
      </m:oMath>
      <w:r>
        <w:t xml:space="preserve">) the model specification is</w:t>
      </w:r>
      <w:r>
        <w:t xml:space="preserve"> </w:t>
      </w:r>
      <w:r>
        <w:t xml:space="preserve">“</w:t>
      </w:r>
      <w:r>
        <w:t xml:space="preserve">MAN</w:t>
      </w:r>
      <w:r>
        <w:t xml:space="preserve">”</w:t>
      </w:r>
      <w:r>
        <w:t xml:space="preserve">, which means multiplicative error, additive trend and no seasonal component.</w:t>
      </w:r>
      <w:r>
        <w:t xml:space="preserve"> </w:t>
      </w:r>
      <w:r>
        <w:t xml:space="preserve">The aletrnative specification (which was selected in</w:t>
      </w:r>
      <w:r>
        <w:t xml:space="preserve"> </w:t>
      </w:r>
      <m:oMath>
        <m:r>
          <m:t>1</m:t>
        </m:r>
        <m:r>
          <m:t>/</m:t>
        </m:r>
        <m:r>
          <m:t>6</m:t>
        </m:r>
      </m:oMath>
      <w:r>
        <w:t xml:space="preserve"> </w:t>
      </w:r>
      <w:r>
        <w:t xml:space="preserve">of cases) is</w:t>
      </w:r>
      <w:r>
        <w:t xml:space="preserve"> </w:t>
      </w:r>
      <w:r>
        <w:t xml:space="preserve">“</w:t>
      </w:r>
      <w:r>
        <w:t xml:space="preserve">MAdN</w:t>
      </w:r>
      <w:r>
        <w:t xml:space="preserve">”</w:t>
      </w:r>
      <w:r>
        <w:t xml:space="preserve">, where</w:t>
      </w:r>
      <w:r>
        <w:t xml:space="preserve"> </w:t>
      </w:r>
      <w:r>
        <w:t xml:space="preserve">“</w:t>
      </w:r>
      <w:r>
        <w:t xml:space="preserve">Ad</w:t>
      </w:r>
      <w:r>
        <w:t xml:space="preserve">”</w:t>
      </w:r>
      <w:r>
        <w:t xml:space="preserve"> </w:t>
      </w:r>
      <w:r>
        <w:t xml:space="preserve">stands for additive damped trend component.</w:t>
      </w:r>
    </w:p>
    <w:p>
      <w:pPr>
        <w:pStyle w:val="Heading4"/>
      </w:pPr>
      <w:bookmarkStart w:id="32" w:name="arima"/>
      <w:r>
        <w:t xml:space="preserve">ARIMA</w:t>
      </w:r>
      <w:bookmarkEnd w:id="32"/>
    </w:p>
    <w:p>
      <w:pPr>
        <w:pStyle w:val="FirstParagraph"/>
      </w:pPr>
      <w:r>
        <w:t xml:space="preserve">ARIMA also called Box-Jenkins model is one of the classical models in applied Time Series Econometrics that explains the dynamics with lag of the variable itself and lag of error terms.</w:t>
      </w:r>
    </w:p>
    <w:p>
      <w:pPr>
        <w:pStyle w:val="BodyText"/>
      </w:pPr>
      <m:oMathPara>
        <m:oMathParaPr>
          <m:jc m:val="center"/>
        </m:oMathParaPr>
        <m:oMath>
          <m:sSub>
            <m:e>
              <m:r>
                <m:t>y</m:t>
              </m:r>
            </m:e>
            <m:sub>
              <m:r>
                <m:t>t</m:t>
              </m:r>
            </m:sub>
          </m:sSub>
          <m:r>
            <m:t>=</m:t>
          </m:r>
          <m:nary>
            <m:naryPr>
              <m:chr m:val="∑"/>
              <m:limLoc m:val="undOvr"/>
              <m:subHide m:val="0"/>
              <m:supHide m:val="0"/>
            </m:naryPr>
            <m:sub>
              <m:r>
                <m:t>i</m:t>
              </m:r>
              <m:r>
                <m:t>=</m:t>
              </m:r>
              <m:r>
                <m:t>1</m:t>
              </m:r>
            </m:sub>
            <m:sup>
              <m:r>
                <m:t>N</m:t>
              </m:r>
            </m:sup>
            <m:e>
              <m:sSub>
                <m:e>
                  <m:r>
                    <m:t>y</m:t>
                  </m:r>
                </m:e>
                <m:sub>
                  <m:r>
                    <m:t>t</m:t>
                  </m:r>
                  <m:r>
                    <m:t>−</m:t>
                  </m:r>
                  <m:r>
                    <m:t>i</m:t>
                  </m:r>
                </m:sub>
              </m:sSub>
            </m:e>
          </m:nary>
          <m:r>
            <m:t>+</m:t>
          </m:r>
          <m:nary>
            <m:naryPr>
              <m:chr m:val="∑"/>
              <m:limLoc m:val="undOvr"/>
              <m:subHide m:val="0"/>
              <m:supHide m:val="0"/>
            </m:naryPr>
            <m:sub>
              <m:r>
                <m:t>j</m:t>
              </m:r>
              <m:r>
                <m:t>=</m:t>
              </m:r>
              <m:r>
                <m:t>1</m:t>
              </m:r>
            </m:sub>
            <m:sup>
              <m:r>
                <m:t>M</m:t>
              </m:r>
            </m:sup>
            <m:e>
              <m:sSub>
                <m:e>
                  <m:r>
                    <m:t>e</m:t>
                  </m:r>
                </m:e>
                <m:sub>
                  <m:r>
                    <m:t>t</m:t>
                  </m:r>
                  <m:r>
                    <m:t>−</m:t>
                  </m:r>
                  <m:r>
                    <m:t>j</m:t>
                  </m:r>
                </m:sub>
              </m:sSub>
            </m:e>
          </m:nary>
          <m:r>
            <m:t>+</m:t>
          </m:r>
          <m:sSub>
            <m:e>
              <m:r>
                <m:t>ϵ</m:t>
              </m:r>
            </m:e>
            <m:sub>
              <m:r>
                <m:t>i</m:t>
              </m:r>
            </m:sub>
          </m:sSub>
        </m:oMath>
      </m:oMathPara>
    </w:p>
    <w:p>
      <w:pPr>
        <w:pStyle w:val="FirstParagraph"/>
      </w:pPr>
      <w:r>
        <w:t xml:space="preserve">In our case only on train data model has initially (0,1,0) specification that changed to (2,1,0) and (1,1,0) though cross validation process. (I know it is rather strange spec at the first step. It’s AIC failure, BIC gave worse results.)</w:t>
      </w:r>
      <w:r>
        <w:t xml:space="preserve"> </w:t>
      </w:r>
      <w:r>
        <w:t xml:space="preserve">The Visualization of the forecasting values and real values can be seen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ARIMA and ETS use lags only of dependent variable while the next bunch of models use not only lags of predicted variables but also lags of other external variables that can affect regressant.</w:t>
      </w:r>
    </w:p>
    <w:p>
      <w:pPr>
        <w:pStyle w:val="Heading4"/>
      </w:pPr>
      <w:bookmarkStart w:id="34" w:name="arimax"/>
      <w:r>
        <w:t xml:space="preserve">ARIMAX</w:t>
      </w:r>
      <w:bookmarkEnd w:id="34"/>
    </w:p>
    <w:p>
      <w:pPr>
        <w:pStyle w:val="FirstParagraph"/>
      </w:pPr>
      <w:r>
        <w:t xml:space="preserve">ARIMAX is a model that is characterized by forecasting throught not only with the help of dependant variable but also with lags of other variables that may affect the forecast. In our case the forecasts were calculated throught same specification as ARIMA in the first step and transform to (4,1,0) spec at the last step. In the model were used lags of weighted rate, USDRUB, Key rate and Inflation. We took 1 lag for each variable due to AIC (VARselect procedure). The graph is presented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var"/>
      <w:r>
        <w:t xml:space="preserve">VAR</w:t>
      </w:r>
      <w:bookmarkEnd w:id="36"/>
    </w:p>
    <w:p>
      <w:pPr>
        <w:pStyle w:val="FirstParagraph"/>
      </w:pPr>
      <w:r>
        <w:t xml:space="preserve">Vector autoregerssion of order p (VAR(p) ) models are multivariate dynamic models. In this class of models the whole system of equations is estimated:</w:t>
      </w:r>
    </w:p>
    <w:p>
      <w:pPr>
        <w:pStyle w:val="BodyText"/>
      </w:pPr>
      <m:oMathPara>
        <m:oMathParaPr>
          <m:jc m:val="center"/>
        </m:oMathParaPr>
        <m:oMath>
          <m:sSub>
            <m:e>
              <m:r>
                <m:t>Y</m:t>
              </m:r>
            </m:e>
            <m:sub>
              <m:r>
                <m:t>t</m:t>
              </m:r>
            </m:sub>
          </m:sSub>
          <m:r>
            <m:t>=</m:t>
          </m:r>
          <m:sSub>
            <m:e>
              <m:r>
                <m:t>A</m:t>
              </m:r>
            </m:e>
            <m:sub>
              <m:r>
                <m:t>0</m:t>
              </m:r>
            </m:sub>
          </m:sSub>
          <m:r>
            <m:t>+</m:t>
          </m:r>
          <m:sSub>
            <m:e>
              <m:r>
                <m:t>A</m:t>
              </m:r>
            </m:e>
            <m:sub>
              <m:r>
                <m:t>1</m:t>
              </m:r>
            </m:sub>
          </m:sSub>
          <m:sSub>
            <m:e>
              <m:r>
                <m:t>Y</m:t>
              </m:r>
            </m:e>
            <m:sub>
              <m:r>
                <m:t>t</m:t>
              </m:r>
              <m:r>
                <m:t>−</m:t>
              </m:r>
              <m:r>
                <m:t>1</m:t>
              </m:r>
            </m:sub>
          </m:sSub>
          <m:r>
            <m:t>+</m:t>
          </m:r>
          <m:r>
            <m:t>…</m:t>
          </m:r>
          <m:sSub>
            <m:e>
              <m:r>
                <m:t>A</m:t>
              </m:r>
            </m:e>
            <m:sub>
              <m:r>
                <m:t>p</m:t>
              </m:r>
            </m:sub>
          </m:sSub>
          <m:sSub>
            <m:e>
              <m:r>
                <m:t>Y</m:t>
              </m:r>
            </m:e>
            <m:sub>
              <m:r>
                <m:t>t</m:t>
              </m:r>
              <m:r>
                <m:t>−</m:t>
              </m:r>
              <m:r>
                <m:t>p</m:t>
              </m:r>
            </m:sub>
          </m:sSub>
          <m:r>
            <m:t>+</m:t>
          </m:r>
          <m:sSub>
            <m:e>
              <m:r>
                <m:t>ε</m:t>
              </m:r>
            </m:e>
            <m:sub>
              <m:r>
                <m:t>t</m:t>
              </m:r>
            </m:sub>
          </m:sSub>
          <m:r>
            <m:t>,</m:t>
          </m:r>
        </m:oMath>
      </m:oMathPara>
    </w:p>
    <w:p>
      <w:pPr>
        <w:pStyle w:val="FirstParagraph"/>
      </w:pPr>
      <w:r>
        <w:t xml:space="preserve">where</w:t>
      </w:r>
      <w:r>
        <w:t xml:space="preserve"> </w:t>
      </w:r>
      <m:oMath>
        <m:r>
          <m:t>E</m:t>
        </m:r>
        <m:r>
          <m:t>(</m:t>
        </m:r>
        <m:sSub>
          <m:e>
            <m:r>
              <m:t>ε</m:t>
            </m:r>
          </m:e>
          <m:sub>
            <m:r>
              <m:t>t</m:t>
            </m:r>
          </m:sub>
        </m:sSub>
        <m:r>
          <m:t>)</m:t>
        </m:r>
        <m:r>
          <m:t>=</m:t>
        </m:r>
        <m:r>
          <m:t>0</m:t>
        </m:r>
        <m:r>
          <m:t>;</m:t>
        </m:r>
        <m:r>
          <m:t>v</m:t>
        </m:r>
        <m:r>
          <m:t>a</m:t>
        </m:r>
        <m:r>
          <m:t>r</m:t>
        </m:r>
        <m:r>
          <m:t>(</m:t>
        </m:r>
        <m:sSub>
          <m:e>
            <m:r>
              <m:t>ε</m:t>
            </m:r>
          </m:e>
          <m:sub>
            <m:r>
              <m:t>t</m:t>
            </m:r>
          </m:sub>
        </m:sSub>
        <m:r>
          <m:t>)</m:t>
        </m:r>
        <m:r>
          <m:t>=</m:t>
        </m:r>
        <m:r>
          <m:t>Ω</m:t>
        </m:r>
      </m:oMath>
      <w:r>
        <w:t xml:space="preserve">.</w:t>
      </w:r>
      <w:r>
        <w:t xml:space="preserve"> </w:t>
      </w:r>
      <m:oMath>
        <m:sSub>
          <m:e>
            <m:r>
              <m:t>Y</m:t>
            </m:r>
          </m:e>
          <m:sub>
            <m:r>
              <m:t>t</m:t>
            </m:r>
          </m:sub>
        </m:sSub>
      </m:oMath>
      <w:r>
        <w:t xml:space="preserve"> </w:t>
      </w:r>
      <w:r>
        <w:t xml:space="preserve">is the vector of endogenous variables.</w:t>
      </w:r>
      <w:r>
        <w:t xml:space="preserve"> </w:t>
      </w:r>
      <w:r>
        <w:t xml:space="preserve">In our case it consists of log deposits, weighted interest rate, US Dollars to ruble exchange rate, key interest rate and inflation.</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Contrary to ARIMAX models, VAR allows to predict the whole set of endogenous variables at once.</w:t>
      </w:r>
      <w:r>
        <w:t xml:space="preserve"> </w:t>
      </w:r>
      <w:r>
        <w:t xml:space="preserve">It means that VAR forecasts are constructed conditional only on the previous values of endogenous variables, but not conditional on scenario values.</w:t>
      </w:r>
    </w:p>
    <w:p>
      <w:pPr>
        <w:pStyle w:val="BodyText"/>
      </w:pPr>
      <w:r>
        <w:t xml:space="preserve">We use Akaike information criterion (AIC) to choose the lag length</w:t>
      </w:r>
      <w:r>
        <w:t xml:space="preserve"> </w:t>
      </w:r>
      <m:oMath>
        <m:r>
          <m:t>p</m:t>
        </m:r>
      </m:oMath>
      <w:r>
        <w:t xml:space="preserve"> </w:t>
      </w:r>
      <w:r>
        <w:t xml:space="preserve">for VAR model.</w:t>
      </w:r>
      <w:r>
        <w:t xml:space="preserve"> </w:t>
      </w:r>
      <w:r>
        <w:t xml:space="preserve">The maximum possible lag is</w:t>
      </w:r>
      <w:r>
        <w:t xml:space="preserve"> </w:t>
      </w:r>
      <m:oMath>
        <m:r>
          <m:t>p</m:t>
        </m:r>
        <m:r>
          <m:t>=</m:t>
        </m:r>
        <m:r>
          <m:t>12</m:t>
        </m:r>
      </m:oMath>
      <w:r>
        <w:t xml:space="preserve">, due to monthly frequency of the data.</w:t>
      </w:r>
      <w:r>
        <w:t xml:space="preserve"> </w:t>
      </w:r>
      <w:r>
        <w:t xml:space="preserve">We automatically select lag length in each sample.</w:t>
      </w:r>
      <w:r>
        <w:t xml:space="preserve"> </w:t>
      </w:r>
      <w:r>
        <w:t xml:space="preserve">In all samples, except the last one, selected lag length equals</w:t>
      </w:r>
      <w:r>
        <w:t xml:space="preserve"> </w:t>
      </w:r>
      <m:oMath>
        <m:r>
          <m:t>10</m:t>
        </m:r>
      </m:oMath>
      <w:r>
        <w:t xml:space="preserve">.</w:t>
      </w:r>
      <w:r>
        <w:t xml:space="preserve"> </w:t>
      </w:r>
      <w:r>
        <w:t xml:space="preserve">On the final sample lag length is selected to be</w:t>
      </w:r>
      <w:r>
        <w:t xml:space="preserve"> </w:t>
      </w:r>
      <m:oMath>
        <m:r>
          <m:t>p</m:t>
        </m:r>
        <m:r>
          <m:t>=</m:t>
        </m:r>
        <m:r>
          <m:t>12</m:t>
        </m:r>
      </m:oMath>
      <w:r>
        <w:t xml:space="preserve">.</w:t>
      </w:r>
      <w:r>
        <w:t xml:space="preserve"> </w:t>
      </w:r>
      <w:r>
        <w:t xml:space="preserve">In our forecasting exercise we calculate RMSE only for log deposit variable.</w:t>
      </w:r>
    </w:p>
    <w:p>
      <w:pPr>
        <w:pStyle w:val="Heading4"/>
      </w:pPr>
      <w:bookmarkStart w:id="38" w:name="var-restricted"/>
      <w:r>
        <w:t xml:space="preserve">VAR restricted</w:t>
      </w:r>
      <w:bookmarkEnd w:id="38"/>
    </w:p>
    <w:p>
      <w:pPr>
        <w:pStyle w:val="FirstParagraph"/>
      </w:pPr>
      <w:r>
        <w:t xml:space="preserve">In the standard VAR specification there are</w:t>
      </w:r>
      <w:r>
        <w:t xml:space="preserve"> </w:t>
      </w:r>
      <m:oMath>
        <m:r>
          <m:t>n</m:t>
        </m:r>
        <m:r>
          <m:t>=</m:t>
        </m:r>
        <m:r>
          <m:t>5</m:t>
        </m:r>
      </m:oMath>
      <w:r>
        <w:t xml:space="preserve"> </w:t>
      </w:r>
      <w:r>
        <w:t xml:space="preserve">endogenous variables and</w:t>
      </w:r>
      <w:r>
        <w:t xml:space="preserve"> </w:t>
      </w:r>
      <m:oMath>
        <m:r>
          <m:t>p</m:t>
        </m:r>
        <m:r>
          <m:t>=</m:t>
        </m:r>
        <m:r>
          <m:t>10</m:t>
        </m:r>
      </m:oMath>
      <w:r>
        <w:t xml:space="preserve"> </w:t>
      </w:r>
      <w:r>
        <w:t xml:space="preserve">lags selected.</w:t>
      </w:r>
      <w:r>
        <w:t xml:space="preserve"> </w:t>
      </w:r>
      <w:r>
        <w:t xml:space="preserve">It means that there are</w:t>
      </w:r>
      <w:r>
        <w:t xml:space="preserve"> </w:t>
      </w:r>
      <m:oMath>
        <m:r>
          <m:t>k</m:t>
        </m:r>
        <m:r>
          <m:t>=</m:t>
        </m:r>
        <m:r>
          <m:t>51</m:t>
        </m:r>
      </m:oMath>
      <w:r>
        <w:t xml:space="preserve"> </w:t>
      </w:r>
      <w:r>
        <w:t xml:space="preserve">parameters in each equation of the VAR system.</w:t>
      </w:r>
      <w:r>
        <w:t xml:space="preserve"> </w:t>
      </w:r>
      <w:r>
        <w:t xml:space="preserve">Due to the lack of data this fact could lead to the model overfit.</w:t>
      </w:r>
      <w:r>
        <w:t xml:space="preserve"> </w:t>
      </w:r>
      <w:r>
        <w:t xml:space="preserve">To handle this problem we regularize VAR using LASSO-type regularization rules.</w:t>
      </w:r>
      <w:r>
        <w:t xml:space="preserve"> </w:t>
      </w:r>
      <w:r>
        <w:t xml:space="preserve">To do this we implement</w:t>
      </w:r>
      <w:r>
        <w:t xml:space="preserve"> </w:t>
      </w:r>
      <w:r>
        <w:t xml:space="preserve">“</w:t>
      </w:r>
      <w:r>
        <w:t xml:space="preserve">Basic VARX-L</w:t>
      </w:r>
      <w:r>
        <w:t xml:space="preserve">”</w:t>
      </w:r>
      <w:r>
        <w:t xml:space="preserve"> </w:t>
      </w:r>
      <w:r>
        <w:t xml:space="preserve">structure, provided by</w:t>
      </w:r>
      <w:r>
        <w:t xml:space="preserve"> </w:t>
      </w:r>
      <m:oMath>
        <m:r>
          <m:t>b</m:t>
        </m:r>
        <m:r>
          <m:t>i</m:t>
        </m:r>
        <m:r>
          <m:t>g</m:t>
        </m:r>
        <m:r>
          <m:t>V</m:t>
        </m:r>
        <m:r>
          <m:t>A</m:t>
        </m:r>
        <m:r>
          <m:t>R</m:t>
        </m:r>
      </m:oMath>
      <w:r>
        <w:t xml:space="preserve"> </w:t>
      </w:r>
      <w:r>
        <w:t xml:space="preserve">package.</w:t>
      </w:r>
    </w:p>
    <w:p>
      <w:pPr>
        <w:pStyle w:val="BodyText"/>
      </w:pPr>
      <w:r>
        <w:t xml:space="preserve">LASSO regularization shifts parameters to zero values, depending on the penalty value.</w:t>
      </w:r>
      <w:r>
        <w:t xml:space="preserve"> </w:t>
      </w:r>
      <w:r>
        <w:t xml:space="preserve">The higher the penalty, the lower parameters are in absolute values.</w:t>
      </w:r>
      <w:r>
        <w:t xml:space="preserve"> </w:t>
      </w:r>
      <w:r>
        <w:t xml:space="preserve">To choose the penalty value, we use cross-validation on the rolling window with forecasting horizon equal to</w:t>
      </w:r>
      <w:r>
        <w:t xml:space="preserve"> </w:t>
      </w:r>
      <m:oMath>
        <m:r>
          <m:t>h</m:t>
        </m:r>
        <m:r>
          <m:t>=</m:t>
        </m:r>
        <m:r>
          <m:t>1</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variables, used in VAR, except key interest rate, are non-stationary.</w:t>
      </w:r>
      <w:r>
        <w:t xml:space="preserve"> </w:t>
      </w:r>
      <w:r>
        <w:t xml:space="preserve">To take this fact into account, we used Minnesota prior, which shrinks coefficients towards random walk case.</w:t>
      </w:r>
      <w:r>
        <w:t xml:space="preserve"> </w:t>
      </w:r>
      <w:r>
        <w:t xml:space="preserve">Without Minnesota prior forecasts were</w:t>
      </w:r>
      <w:r>
        <w:t xml:space="preserve"> </w:t>
      </w:r>
      <w:r>
        <w:rPr>
          <w:b/>
        </w:rPr>
        <w:t xml:space="preserve">very</w:t>
      </w:r>
      <w:r>
        <w:t xml:space="preserve"> </w:t>
      </w:r>
      <w:r>
        <w:t xml:space="preserve">bad.</w:t>
      </w:r>
    </w:p>
    <w:p>
      <w:pPr>
        <w:pStyle w:val="Heading4"/>
      </w:pPr>
      <w:bookmarkStart w:id="40" w:name="vecm"/>
      <w:r>
        <w:t xml:space="preserve">VECM</w:t>
      </w:r>
      <w:bookmarkEnd w:id="40"/>
    </w:p>
    <w:p>
      <w:pPr>
        <w:pStyle w:val="FirstParagraph"/>
      </w:pPr>
      <w:r>
        <w:t xml:space="preserve">Vector error correction model has the following specification:</w:t>
      </w:r>
    </w:p>
    <w:p>
      <w:pPr>
        <w:pStyle w:val="BodyText"/>
      </w:pPr>
      <m:oMathPara>
        <m:oMathParaPr>
          <m:jc m:val="center"/>
        </m:oMathParaPr>
        <m:oMath>
          <m:r>
            <m:t>Δ</m:t>
          </m:r>
          <m:sSub>
            <m:e>
              <m:r>
                <m:t>Y</m:t>
              </m:r>
            </m:e>
            <m:sub>
              <m:r>
                <m:t>t</m:t>
              </m:r>
            </m:sub>
          </m:sSub>
          <m:r>
            <m:t>=</m:t>
          </m:r>
          <m:r>
            <m:t>α</m:t>
          </m:r>
          <m:r>
            <m:t>β</m:t>
          </m:r>
          <m:sSub>
            <m:e>
              <m:r>
                <m:t>Y</m:t>
              </m:r>
            </m:e>
            <m:sub>
              <m:r>
                <m:t>t</m:t>
              </m:r>
              <m:r>
                <m:t>−</m:t>
              </m:r>
              <m:r>
                <m:t>1</m:t>
              </m:r>
            </m:sub>
          </m:sSub>
          <m:r>
            <m:t>+</m:t>
          </m:r>
          <m:sSub>
            <m:e>
              <m:r>
                <m:t>Γ</m:t>
              </m:r>
            </m:e>
            <m:sub>
              <m:r>
                <m:t>1</m:t>
              </m:r>
            </m:sub>
          </m:sSub>
          <m:r>
            <m:t>Δ</m:t>
          </m:r>
          <m:sSub>
            <m:e>
              <m:r>
                <m:t>Y</m:t>
              </m:r>
            </m:e>
            <m:sub>
              <m:r>
                <m:t>t</m:t>
              </m:r>
              <m:r>
                <m:t>−</m:t>
              </m:r>
              <m:r>
                <m:t>1</m:t>
              </m:r>
            </m:sub>
          </m:sSub>
          <m:r>
            <m:t>+</m:t>
          </m:r>
          <m:r>
            <m:t>…</m:t>
          </m:r>
          <m:r>
            <m:t>+</m:t>
          </m:r>
          <m:sSub>
            <m:e>
              <m:r>
                <m:t>Γ</m:t>
              </m:r>
            </m:e>
            <m:sub>
              <m:r>
                <m:t>p</m:t>
              </m:r>
              <m:r>
                <m:t>−</m:t>
              </m:r>
              <m:r>
                <m:t>1</m:t>
              </m:r>
            </m:sub>
          </m:sSub>
          <m:r>
            <m:t>Δ</m:t>
          </m:r>
          <m:sSub>
            <m:e>
              <m:r>
                <m:t>Y</m:t>
              </m:r>
            </m:e>
            <m:sub>
              <m:r>
                <m:t>t</m:t>
              </m:r>
              <m:r>
                <m:t>−</m:t>
              </m:r>
              <m:r>
                <m:t>p</m:t>
              </m:r>
              <m:r>
                <m:t>+</m:t>
              </m:r>
              <m:r>
                <m:t>1</m:t>
              </m:r>
            </m:sub>
          </m:sSub>
          <m:r>
            <m:t>+</m:t>
          </m:r>
          <m:sSub>
            <m:e>
              <m:r>
                <m:t>ν</m:t>
              </m:r>
            </m:e>
            <m:sub>
              <m:r>
                <m:t>t</m:t>
              </m:r>
            </m:sub>
          </m:sSub>
        </m:oMath>
      </m:oMathPara>
    </w:p>
    <w:p>
      <w:pPr>
        <w:pStyle w:val="FirstParagraph"/>
      </w:pPr>
      <w:r>
        <w:t xml:space="preserve">Linear combinations of endogenous variables $</w:t>
      </w:r>
      <w:r>
        <w:t xml:space="preserve"> </w:t>
      </w:r>
      <w:r>
        <w:t xml:space="preserve">Y_{t-1} $ are cointegration relations that drive first differences of endogenous variables.</w:t>
      </w:r>
      <w:r>
        <w:t xml:space="preserve"> </w:t>
      </w:r>
      <w:r>
        <w:t xml:space="preserve">To choose the number of coiintegration relations, we applied trace Johansen test without constant and trend.</w:t>
      </w:r>
      <w:r>
        <w:t xml:space="preserve"> </w:t>
      </w:r>
      <w:r>
        <w:t xml:space="preserve">This is due to the fact that the representation of original series</w:t>
      </w:r>
      <w:r>
        <w:t xml:space="preserve"> </w:t>
      </w:r>
      <m:oMath>
        <m:sSub>
          <m:e>
            <m:r>
              <m:t>Y</m:t>
            </m:r>
          </m:e>
          <m:sub>
            <m:r>
              <m:t>t</m:t>
            </m:r>
          </m:sub>
        </m:sSub>
      </m:oMath>
      <w:r>
        <w:t xml:space="preserve"> </w:t>
      </w:r>
      <w:r>
        <w:t xml:space="preserve">is VAR model with constant.</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make forecasts of the original series</w:t>
      </w:r>
      <w:r>
        <w:t xml:space="preserve"> </w:t>
      </w:r>
      <m:oMath>
        <m:sSub>
          <m:e>
            <m:r>
              <m:t>Y</m:t>
            </m:r>
          </m:e>
          <m:sub>
            <m:r>
              <m:t>t</m:t>
            </m:r>
          </m:sub>
        </m:sSub>
      </m:oMath>
      <w:r>
        <w:t xml:space="preserve">, this model should be replaced with corresponding VAR(p) representation.</w:t>
      </w:r>
      <w:r>
        <w:t xml:space="preserve"> </w:t>
      </w:r>
      <w:r>
        <w:t xml:space="preserve">The inclusion of integration relations could shift coefficients.</w:t>
      </w:r>
      <w:r>
        <w:t xml:space="preserve"> </w:t>
      </w:r>
      <w:r>
        <w:t xml:space="preserve">It means that forecasts could differ from the standard VAR model.</w:t>
      </w:r>
      <w:r>
        <w:t xml:space="preserve"> </w:t>
      </w:r>
      <w:r>
        <w:t xml:space="preserve">We use procedures of the</w:t>
      </w:r>
      <w:r>
        <w:t xml:space="preserve"> </w:t>
      </w:r>
      <m:oMath>
        <m:r>
          <m:t>v</m:t>
        </m:r>
        <m:r>
          <m:t>a</m:t>
        </m:r>
        <m:r>
          <m:t>r</m:t>
        </m:r>
        <m:r>
          <m:t>s</m:t>
        </m:r>
      </m:oMath>
      <w:r>
        <w:t xml:space="preserve"> </w:t>
      </w:r>
      <w:r>
        <w:t xml:space="preserve">package to calculate forecasts.</w:t>
      </w:r>
    </w:p>
    <w:p>
      <w:pPr>
        <w:pStyle w:val="BodyText"/>
      </w:pPr>
      <w:r>
        <w:t xml:space="preserve">VAR and ARIMAX use in addition other macroindicators.</w:t>
      </w:r>
      <w:r>
        <w:t xml:space="preserve"> </w:t>
      </w:r>
      <w:r>
        <w:t xml:space="preserve">We calculated ARIMAX model forecasts conditional on the actual values of exogenous variables in the test sample.</w:t>
      </w:r>
      <w:r>
        <w:t xml:space="preserve"> </w:t>
      </w:r>
      <w:r>
        <w:t xml:space="preserve">VAR forecasts were made by forecasting all of the endogenous variables.</w:t>
      </w:r>
      <w:r>
        <w:t xml:space="preserve"> </w:t>
      </w:r>
      <w:r>
        <w:t xml:space="preserve">However, RMSE for VAR model was calculated only for log deposits.</w:t>
      </w:r>
      <w:r>
        <w:t xml:space="preserve"> </w:t>
      </w:r>
      <w:r>
        <w:t xml:space="preserve">We also need to check causality before constructing VAR models.</w:t>
      </w:r>
    </w:p>
    <w:p>
      <w:pPr>
        <w:pStyle w:val="SourceCode"/>
      </w:pPr>
      <w:r>
        <w:rPr>
          <w:rStyle w:val="VerbatimChar"/>
        </w:rPr>
        <w:t xml:space="preserve">## </w:t>
      </w:r>
      <w:r>
        <w:br/>
      </w:r>
      <w:r>
        <w:rPr>
          <w:rStyle w:val="VerbatimChar"/>
        </w:rPr>
        <w:t xml:space="preserve">##  Granger causality H0: Weighted_rate USDRUB KeyRate Inflation do not</w:t>
      </w:r>
      <w:r>
        <w:br/>
      </w:r>
      <w:r>
        <w:rPr>
          <w:rStyle w:val="VerbatimChar"/>
        </w:rPr>
        <w:t xml:space="preserve">##  Granger-cause Deposits_ind</w:t>
      </w:r>
      <w:r>
        <w:br/>
      </w:r>
      <w:r>
        <w:rPr>
          <w:rStyle w:val="VerbatimChar"/>
        </w:rPr>
        <w:t xml:space="preserve">## </w:t>
      </w:r>
      <w:r>
        <w:br/>
      </w:r>
      <w:r>
        <w:rPr>
          <w:rStyle w:val="VerbatimChar"/>
        </w:rPr>
        <w:t xml:space="preserve">## data:  VAR object m.var</w:t>
      </w:r>
      <w:r>
        <w:br/>
      </w:r>
      <w:r>
        <w:rPr>
          <w:rStyle w:val="VerbatimChar"/>
        </w:rPr>
        <w:t xml:space="preserve">## F-Test = 3.3112, df1 = 48, df2 = 170, p-value = 5.9e-09</w:t>
      </w:r>
    </w:p>
    <w:p>
      <w:pPr>
        <w:pStyle w:val="FirstParagraph"/>
      </w:pPr>
      <w:r>
        <w:t xml:space="preserve">Then all was compared to RMSE (RMSE results presented in chart 3).</w:t>
      </w:r>
      <w:r>
        <w:t xml:space="preserve"> </w:t>
      </w:r>
      <w:r>
        <w:t xml:space="preserve">To make forecasting exercise we split the whole sample into train and test samples in the following manner.</w:t>
      </w:r>
      <w:r>
        <w:t xml:space="preserve"> </w:t>
      </w:r>
      <w:r>
        <w:t xml:space="preserve">We first estimate the proposed models on the sample till the December, 2014 and calculate forecasts on horizon 12 month, starting from the January, 2015.</w:t>
      </w:r>
      <w:r>
        <w:t xml:space="preserve"> </w:t>
      </w:r>
      <w:r>
        <w:t xml:space="preserve">We then sequentially add new points with 1-month step to the train sample and shift the test sample by 1 month to the right.</w:t>
      </w:r>
      <w:r>
        <w:t xml:space="preserve"> </w:t>
      </w:r>
      <w:r>
        <w:t xml:space="preserve">We then reestimate models and calculate out-of-sample forecasts for a new train sample.</w:t>
      </w:r>
    </w:p>
    <w:p>
      <w:pPr>
        <w:pStyle w:val="BodyText"/>
      </w:pPr>
      <w:r>
        <w:t xml:space="preserve">Using RMSE-ratio (RMSE of the model/RMSE of the benchmark) we concluded VECM, VAR restricted and ETS as best prediction models.VAR and VECM are the best models for forecasting as it used other variables that affects directly the volume of the deposits. Restrictions that are included in those models increase the accuracy as some problems as multicollinearity and endogeneity partially solved with its help.</w:t>
      </w:r>
    </w:p>
    <w:tbl>
      <w:tblPr>
        <w:tblStyle w:val="Table"/>
        <w:tblW w:type="pct" w:w="5000.0"/>
        <w:tblLook w:firstRow="1"/>
      </w:tblPr>
      <w:tblGrid>
        <w:gridCol w:w="931"/>
        <w:gridCol w:w="1024"/>
        <w:gridCol w:w="931"/>
        <w:gridCol w:w="931"/>
        <w:gridCol w:w="931"/>
        <w:gridCol w:w="1118"/>
        <w:gridCol w:w="1024"/>
        <w:gridCol w:w="1024"/>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c>
          <w:tcPr>
            <w:tcBorders>
              <w:bottom w:val="single"/>
            </w:tcBorders>
            <w:vAlign w:val="bottom"/>
          </w:tcPr>
          <w:p>
            <w:pPr>
              <w:pStyle w:val="Compact"/>
              <w:jc w:val="center"/>
            </w:pPr>
            <w:r>
              <w:t xml:space="preserve">rwd</w:t>
            </w:r>
          </w:p>
        </w:tc>
      </w:tr>
      <w:tr>
        <w:tc>
          <w:p>
            <w:pPr>
              <w:pStyle w:val="Compact"/>
              <w:jc w:val="center"/>
            </w:pPr>
            <w:r>
              <w:t xml:space="preserve">0.01108</w:t>
            </w:r>
          </w:p>
        </w:tc>
        <w:tc>
          <w:p>
            <w:pPr>
              <w:pStyle w:val="Compact"/>
              <w:jc w:val="center"/>
            </w:pPr>
            <w:r>
              <w:t xml:space="preserve">0.009939</w:t>
            </w:r>
          </w:p>
        </w:tc>
        <w:tc>
          <w:p>
            <w:pPr>
              <w:pStyle w:val="Compact"/>
              <w:jc w:val="center"/>
            </w:pPr>
            <w:r>
              <w:t xml:space="preserve">0.01126</w:t>
            </w:r>
          </w:p>
        </w:tc>
        <w:tc>
          <w:p>
            <w:pPr>
              <w:pStyle w:val="Compact"/>
              <w:jc w:val="center"/>
            </w:pPr>
            <w:r>
              <w:t xml:space="preserve">0.01037</w:t>
            </w:r>
          </w:p>
        </w:tc>
        <w:tc>
          <w:p>
            <w:pPr>
              <w:pStyle w:val="Compact"/>
              <w:jc w:val="center"/>
            </w:pPr>
            <w:r>
              <w:t xml:space="preserve">0.01029</w:t>
            </w:r>
          </w:p>
        </w:tc>
        <w:tc>
          <w:p>
            <w:pPr>
              <w:pStyle w:val="Compact"/>
              <w:jc w:val="center"/>
            </w:pPr>
            <w:r>
              <w:t xml:space="preserve">0.008146</w:t>
            </w:r>
          </w:p>
        </w:tc>
        <w:tc>
          <w:p>
            <w:pPr>
              <w:pStyle w:val="Compact"/>
              <w:jc w:val="center"/>
            </w:pPr>
            <w:r>
              <w:t xml:space="preserve">0.008696</w:t>
            </w:r>
          </w:p>
        </w:tc>
        <w:tc>
          <w:p>
            <w:pPr>
              <w:pStyle w:val="Compact"/>
              <w:jc w:val="center"/>
            </w:pPr>
            <w:r>
              <w:t xml:space="preserve">0.01154</w:t>
            </w:r>
          </w:p>
        </w:tc>
      </w:tr>
      <w:tr>
        <w:tc>
          <w:p>
            <w:pPr>
              <w:pStyle w:val="Compact"/>
              <w:jc w:val="center"/>
            </w:pPr>
            <w:r>
              <w:t xml:space="preserve">0.01997</w:t>
            </w:r>
          </w:p>
        </w:tc>
        <w:tc>
          <w:p>
            <w:pPr>
              <w:pStyle w:val="Compact"/>
              <w:jc w:val="center"/>
            </w:pPr>
            <w:r>
              <w:t xml:space="preserve">0.01726</w:t>
            </w:r>
          </w:p>
        </w:tc>
        <w:tc>
          <w:p>
            <w:pPr>
              <w:pStyle w:val="Compact"/>
              <w:jc w:val="center"/>
            </w:pPr>
            <w:r>
              <w:t xml:space="preserve">0.01828</w:t>
            </w:r>
          </w:p>
        </w:tc>
        <w:tc>
          <w:p>
            <w:pPr>
              <w:pStyle w:val="Compact"/>
              <w:jc w:val="center"/>
            </w:pPr>
            <w:r>
              <w:t xml:space="preserve">0.01908</w:t>
            </w:r>
          </w:p>
        </w:tc>
        <w:tc>
          <w:p>
            <w:pPr>
              <w:pStyle w:val="Compact"/>
              <w:jc w:val="center"/>
            </w:pPr>
            <w:r>
              <w:t xml:space="preserve">0.01466</w:t>
            </w:r>
          </w:p>
        </w:tc>
        <w:tc>
          <w:p>
            <w:pPr>
              <w:pStyle w:val="Compact"/>
              <w:jc w:val="center"/>
            </w:pPr>
            <w:r>
              <w:t xml:space="preserve">0.01238</w:t>
            </w:r>
          </w:p>
        </w:tc>
        <w:tc>
          <w:p>
            <w:pPr>
              <w:pStyle w:val="Compact"/>
              <w:jc w:val="center"/>
            </w:pPr>
            <w:r>
              <w:t xml:space="preserve">0.01357</w:t>
            </w:r>
          </w:p>
        </w:tc>
        <w:tc>
          <w:p>
            <w:pPr>
              <w:pStyle w:val="Compact"/>
              <w:jc w:val="center"/>
            </w:pPr>
            <w:r>
              <w:t xml:space="preserve">0.02079</w:t>
            </w:r>
          </w:p>
        </w:tc>
      </w:tr>
      <w:tr>
        <w:tc>
          <w:p>
            <w:pPr>
              <w:pStyle w:val="Compact"/>
              <w:jc w:val="center"/>
            </w:pPr>
            <w:r>
              <w:t xml:space="preserve">0.02822</w:t>
            </w:r>
          </w:p>
        </w:tc>
        <w:tc>
          <w:p>
            <w:pPr>
              <w:pStyle w:val="Compact"/>
              <w:jc w:val="center"/>
            </w:pPr>
            <w:r>
              <w:t xml:space="preserve">0.02392</w:t>
            </w:r>
          </w:p>
        </w:tc>
        <w:tc>
          <w:p>
            <w:pPr>
              <w:pStyle w:val="Compact"/>
              <w:jc w:val="center"/>
            </w:pPr>
            <w:r>
              <w:t xml:space="preserve">0.0252</w:t>
            </w:r>
          </w:p>
        </w:tc>
        <w:tc>
          <w:p>
            <w:pPr>
              <w:pStyle w:val="Compact"/>
              <w:jc w:val="center"/>
            </w:pPr>
            <w:r>
              <w:t xml:space="preserve">0.02731</w:t>
            </w:r>
          </w:p>
        </w:tc>
        <w:tc>
          <w:p>
            <w:pPr>
              <w:pStyle w:val="Compact"/>
              <w:jc w:val="center"/>
            </w:pPr>
            <w:r>
              <w:t xml:space="preserve">0.01982</w:t>
            </w:r>
          </w:p>
        </w:tc>
        <w:tc>
          <w:p>
            <w:pPr>
              <w:pStyle w:val="Compact"/>
              <w:jc w:val="center"/>
            </w:pPr>
            <w:r>
              <w:t xml:space="preserve">0.01622</w:t>
            </w:r>
          </w:p>
        </w:tc>
        <w:tc>
          <w:p>
            <w:pPr>
              <w:pStyle w:val="Compact"/>
              <w:jc w:val="center"/>
            </w:pPr>
            <w:r>
              <w:t xml:space="preserve">0.01839</w:t>
            </w:r>
          </w:p>
        </w:tc>
        <w:tc>
          <w:p>
            <w:pPr>
              <w:pStyle w:val="Compact"/>
              <w:jc w:val="center"/>
            </w:pPr>
            <w:r>
              <w:t xml:space="preserve">0.02927</w:t>
            </w:r>
          </w:p>
        </w:tc>
      </w:tr>
      <w:tr>
        <w:tc>
          <w:p>
            <w:pPr>
              <w:pStyle w:val="Compact"/>
              <w:jc w:val="center"/>
            </w:pPr>
            <w:r>
              <w:t xml:space="preserve">0.03596</w:t>
            </w:r>
          </w:p>
        </w:tc>
        <w:tc>
          <w:p>
            <w:pPr>
              <w:pStyle w:val="Compact"/>
              <w:jc w:val="center"/>
            </w:pPr>
            <w:r>
              <w:t xml:space="preserve">0.02998</w:t>
            </w:r>
          </w:p>
        </w:tc>
        <w:tc>
          <w:p>
            <w:pPr>
              <w:pStyle w:val="Compact"/>
              <w:jc w:val="center"/>
            </w:pPr>
            <w:r>
              <w:t xml:space="preserve">0.03256</w:t>
            </w:r>
          </w:p>
        </w:tc>
        <w:tc>
          <w:p>
            <w:pPr>
              <w:pStyle w:val="Compact"/>
              <w:jc w:val="center"/>
            </w:pPr>
            <w:r>
              <w:t xml:space="preserve">0.03566</w:t>
            </w:r>
          </w:p>
        </w:tc>
        <w:tc>
          <w:p>
            <w:pPr>
              <w:pStyle w:val="Compact"/>
              <w:jc w:val="center"/>
            </w:pPr>
            <w:r>
              <w:t xml:space="preserve">0.02235</w:t>
            </w:r>
          </w:p>
        </w:tc>
        <w:tc>
          <w:p>
            <w:pPr>
              <w:pStyle w:val="Compact"/>
              <w:jc w:val="center"/>
            </w:pPr>
            <w:r>
              <w:t xml:space="preserve">0.01986</w:t>
            </w:r>
          </w:p>
        </w:tc>
        <w:tc>
          <w:p>
            <w:pPr>
              <w:pStyle w:val="Compact"/>
              <w:jc w:val="center"/>
            </w:pPr>
            <w:r>
              <w:t xml:space="preserve">0.02284</w:t>
            </w:r>
          </w:p>
        </w:tc>
        <w:tc>
          <w:p>
            <w:pPr>
              <w:pStyle w:val="Compact"/>
              <w:jc w:val="center"/>
            </w:pPr>
            <w:r>
              <w:t xml:space="preserve">0.03726</w:t>
            </w:r>
          </w:p>
        </w:tc>
      </w:tr>
      <w:tr>
        <w:tc>
          <w:p>
            <w:pPr>
              <w:pStyle w:val="Compact"/>
              <w:jc w:val="center"/>
            </w:pPr>
            <w:r>
              <w:t xml:space="preserve">0.04475</w:t>
            </w:r>
          </w:p>
        </w:tc>
        <w:tc>
          <w:p>
            <w:pPr>
              <w:pStyle w:val="Compact"/>
              <w:jc w:val="center"/>
            </w:pPr>
            <w:r>
              <w:t xml:space="preserve">0.03725</w:t>
            </w:r>
          </w:p>
        </w:tc>
        <w:tc>
          <w:p>
            <w:pPr>
              <w:pStyle w:val="Compact"/>
              <w:jc w:val="center"/>
            </w:pPr>
            <w:r>
              <w:t xml:space="preserve">0.04084</w:t>
            </w:r>
          </w:p>
        </w:tc>
        <w:tc>
          <w:p>
            <w:pPr>
              <w:pStyle w:val="Compact"/>
              <w:jc w:val="center"/>
            </w:pPr>
            <w:r>
              <w:t xml:space="preserve">0.04408</w:t>
            </w:r>
          </w:p>
        </w:tc>
        <w:tc>
          <w:p>
            <w:pPr>
              <w:pStyle w:val="Compact"/>
              <w:jc w:val="center"/>
            </w:pPr>
            <w:r>
              <w:t xml:space="preserve">0.02684</w:t>
            </w:r>
          </w:p>
        </w:tc>
        <w:tc>
          <w:p>
            <w:pPr>
              <w:pStyle w:val="Compact"/>
              <w:jc w:val="center"/>
            </w:pPr>
            <w:r>
              <w:t xml:space="preserve">0.02425</w:t>
            </w:r>
          </w:p>
        </w:tc>
        <w:tc>
          <w:p>
            <w:pPr>
              <w:pStyle w:val="Compact"/>
              <w:jc w:val="center"/>
            </w:pPr>
            <w:r>
              <w:t xml:space="preserve">0.0287</w:t>
            </w:r>
          </w:p>
        </w:tc>
        <w:tc>
          <w:p>
            <w:pPr>
              <w:pStyle w:val="Compact"/>
              <w:jc w:val="center"/>
            </w:pPr>
            <w:r>
              <w:t xml:space="preserve">0.04582</w:t>
            </w:r>
          </w:p>
        </w:tc>
      </w:tr>
      <w:tr>
        <w:tc>
          <w:p>
            <w:pPr>
              <w:pStyle w:val="Compact"/>
              <w:jc w:val="center"/>
            </w:pPr>
            <w:r>
              <w:t xml:space="preserve">0.05258</w:t>
            </w:r>
          </w:p>
        </w:tc>
        <w:tc>
          <w:p>
            <w:pPr>
              <w:pStyle w:val="Compact"/>
              <w:jc w:val="center"/>
            </w:pPr>
            <w:r>
              <w:t xml:space="preserve">0.04322</w:t>
            </w:r>
          </w:p>
        </w:tc>
        <w:tc>
          <w:p>
            <w:pPr>
              <w:pStyle w:val="Compact"/>
              <w:jc w:val="center"/>
            </w:pPr>
            <w:r>
              <w:t xml:space="preserve">0.04804</w:t>
            </w:r>
          </w:p>
        </w:tc>
        <w:tc>
          <w:p>
            <w:pPr>
              <w:pStyle w:val="Compact"/>
              <w:jc w:val="center"/>
            </w:pPr>
            <w:r>
              <w:t xml:space="preserve">0.05227</w:t>
            </w:r>
          </w:p>
        </w:tc>
        <w:tc>
          <w:p>
            <w:pPr>
              <w:pStyle w:val="Compact"/>
              <w:jc w:val="center"/>
            </w:pPr>
            <w:r>
              <w:t xml:space="preserve">0.03256</w:t>
            </w:r>
          </w:p>
        </w:tc>
        <w:tc>
          <w:p>
            <w:pPr>
              <w:pStyle w:val="Compact"/>
              <w:jc w:val="center"/>
            </w:pPr>
            <w:r>
              <w:t xml:space="preserve">0.02778</w:t>
            </w:r>
          </w:p>
        </w:tc>
        <w:tc>
          <w:p>
            <w:pPr>
              <w:pStyle w:val="Compact"/>
              <w:jc w:val="center"/>
            </w:pPr>
            <w:r>
              <w:t xml:space="preserve">0.0337</w:t>
            </w:r>
          </w:p>
        </w:tc>
        <w:tc>
          <w:p>
            <w:pPr>
              <w:pStyle w:val="Compact"/>
              <w:jc w:val="center"/>
            </w:pPr>
            <w:r>
              <w:t xml:space="preserve">0.05366</w:t>
            </w:r>
          </w:p>
        </w:tc>
      </w:tr>
      <w:tr>
        <w:tc>
          <w:p>
            <w:pPr>
              <w:pStyle w:val="Compact"/>
              <w:jc w:val="center"/>
            </w:pPr>
            <w:r>
              <w:t xml:space="preserve">0.0601</w:t>
            </w:r>
          </w:p>
        </w:tc>
        <w:tc>
          <w:p>
            <w:pPr>
              <w:pStyle w:val="Compact"/>
              <w:jc w:val="center"/>
            </w:pPr>
            <w:r>
              <w:t xml:space="preserve">0.04858</w:t>
            </w:r>
          </w:p>
        </w:tc>
        <w:tc>
          <w:p>
            <w:pPr>
              <w:pStyle w:val="Compact"/>
              <w:jc w:val="center"/>
            </w:pPr>
            <w:r>
              <w:t xml:space="preserve">0.05582</w:t>
            </w:r>
          </w:p>
        </w:tc>
        <w:tc>
          <w:p>
            <w:pPr>
              <w:pStyle w:val="Compact"/>
              <w:jc w:val="center"/>
            </w:pPr>
            <w:r>
              <w:t xml:space="preserve">0.06074</w:t>
            </w:r>
          </w:p>
        </w:tc>
        <w:tc>
          <w:p>
            <w:pPr>
              <w:pStyle w:val="Compact"/>
              <w:jc w:val="center"/>
            </w:pPr>
            <w:r>
              <w:t xml:space="preserve">0.03894</w:t>
            </w:r>
          </w:p>
        </w:tc>
        <w:tc>
          <w:p>
            <w:pPr>
              <w:pStyle w:val="Compact"/>
              <w:jc w:val="center"/>
            </w:pPr>
            <w:r>
              <w:t xml:space="preserve">0.03036</w:t>
            </w:r>
          </w:p>
        </w:tc>
        <w:tc>
          <w:p>
            <w:pPr>
              <w:pStyle w:val="Compact"/>
              <w:jc w:val="center"/>
            </w:pPr>
            <w:r>
              <w:t xml:space="preserve">0.03883</w:t>
            </w:r>
          </w:p>
        </w:tc>
        <w:tc>
          <w:p>
            <w:pPr>
              <w:pStyle w:val="Compact"/>
              <w:jc w:val="center"/>
            </w:pPr>
            <w:r>
              <w:t xml:space="preserve">0.06166</w:t>
            </w:r>
          </w:p>
        </w:tc>
      </w:tr>
      <w:tr>
        <w:tc>
          <w:p>
            <w:pPr>
              <w:pStyle w:val="Compact"/>
              <w:jc w:val="center"/>
            </w:pPr>
            <w:r>
              <w:t xml:space="preserve">0.06706</w:t>
            </w:r>
          </w:p>
        </w:tc>
        <w:tc>
          <w:p>
            <w:pPr>
              <w:pStyle w:val="Compact"/>
              <w:jc w:val="center"/>
            </w:pPr>
            <w:r>
              <w:t xml:space="preserve">0.05351</w:t>
            </w:r>
          </w:p>
        </w:tc>
        <w:tc>
          <w:p>
            <w:pPr>
              <w:pStyle w:val="Compact"/>
              <w:jc w:val="center"/>
            </w:pPr>
            <w:r>
              <w:t xml:space="preserve">0.06329</w:t>
            </w:r>
          </w:p>
        </w:tc>
        <w:tc>
          <w:p>
            <w:pPr>
              <w:pStyle w:val="Compact"/>
              <w:jc w:val="center"/>
            </w:pPr>
            <w:r>
              <w:t xml:space="preserve">0.06928</w:t>
            </w:r>
          </w:p>
        </w:tc>
        <w:tc>
          <w:p>
            <w:pPr>
              <w:pStyle w:val="Compact"/>
              <w:jc w:val="center"/>
            </w:pPr>
            <w:r>
              <w:t xml:space="preserve">0.04467</w:t>
            </w:r>
          </w:p>
        </w:tc>
        <w:tc>
          <w:p>
            <w:pPr>
              <w:pStyle w:val="Compact"/>
              <w:jc w:val="center"/>
            </w:pPr>
            <w:r>
              <w:t xml:space="preserve">0.0323</w:t>
            </w:r>
          </w:p>
        </w:tc>
        <w:tc>
          <w:p>
            <w:pPr>
              <w:pStyle w:val="Compact"/>
              <w:jc w:val="center"/>
            </w:pPr>
            <w:r>
              <w:t xml:space="preserve">0.04385</w:t>
            </w:r>
          </w:p>
        </w:tc>
        <w:tc>
          <w:p>
            <w:pPr>
              <w:pStyle w:val="Compact"/>
              <w:jc w:val="center"/>
            </w:pPr>
            <w:r>
              <w:t xml:space="preserve">0.06957</w:t>
            </w:r>
          </w:p>
        </w:tc>
      </w:tr>
      <w:tr>
        <w:tc>
          <w:p>
            <w:pPr>
              <w:pStyle w:val="Compact"/>
              <w:jc w:val="center"/>
            </w:pPr>
            <w:r>
              <w:t xml:space="preserve">0.07416</w:t>
            </w:r>
          </w:p>
        </w:tc>
        <w:tc>
          <w:p>
            <w:pPr>
              <w:pStyle w:val="Compact"/>
              <w:jc w:val="center"/>
            </w:pPr>
            <w:r>
              <w:t xml:space="preserve">0.05895</w:t>
            </w:r>
          </w:p>
        </w:tc>
        <w:tc>
          <w:p>
            <w:pPr>
              <w:pStyle w:val="Compact"/>
              <w:jc w:val="center"/>
            </w:pPr>
            <w:r>
              <w:t xml:space="preserve">0.0713</w:t>
            </w:r>
          </w:p>
        </w:tc>
        <w:tc>
          <w:p>
            <w:pPr>
              <w:pStyle w:val="Compact"/>
              <w:jc w:val="center"/>
            </w:pPr>
            <w:r>
              <w:t xml:space="preserve">0.07743</w:t>
            </w:r>
          </w:p>
        </w:tc>
        <w:tc>
          <w:p>
            <w:pPr>
              <w:pStyle w:val="Compact"/>
              <w:jc w:val="center"/>
            </w:pPr>
            <w:r>
              <w:t xml:space="preserve">0.0534</w:t>
            </w:r>
          </w:p>
        </w:tc>
        <w:tc>
          <w:p>
            <w:pPr>
              <w:pStyle w:val="Compact"/>
              <w:jc w:val="center"/>
            </w:pPr>
            <w:r>
              <w:t xml:space="preserve">0.03512</w:t>
            </w:r>
          </w:p>
        </w:tc>
        <w:tc>
          <w:p>
            <w:pPr>
              <w:pStyle w:val="Compact"/>
              <w:jc w:val="center"/>
            </w:pPr>
            <w:r>
              <w:t xml:space="preserve">0.0498</w:t>
            </w:r>
          </w:p>
        </w:tc>
        <w:tc>
          <w:p>
            <w:pPr>
              <w:pStyle w:val="Compact"/>
              <w:jc w:val="center"/>
            </w:pPr>
            <w:r>
              <w:t xml:space="preserve">0.0775</w:t>
            </w:r>
          </w:p>
        </w:tc>
      </w:tr>
      <w:tr>
        <w:tc>
          <w:p>
            <w:pPr>
              <w:pStyle w:val="Compact"/>
              <w:jc w:val="center"/>
            </w:pPr>
            <w:r>
              <w:t xml:space="preserve">0.08093</w:t>
            </w:r>
          </w:p>
        </w:tc>
        <w:tc>
          <w:p>
            <w:pPr>
              <w:pStyle w:val="Compact"/>
              <w:jc w:val="center"/>
            </w:pPr>
            <w:r>
              <w:t xml:space="preserve">0.06361</w:t>
            </w:r>
          </w:p>
        </w:tc>
        <w:tc>
          <w:p>
            <w:pPr>
              <w:pStyle w:val="Compact"/>
              <w:jc w:val="center"/>
            </w:pPr>
            <w:r>
              <w:t xml:space="preserve">0.07957</w:t>
            </w:r>
          </w:p>
        </w:tc>
        <w:tc>
          <w:p>
            <w:pPr>
              <w:pStyle w:val="Compact"/>
              <w:jc w:val="center"/>
            </w:pPr>
            <w:r>
              <w:t xml:space="preserve">0.08561</w:t>
            </w:r>
          </w:p>
        </w:tc>
        <w:tc>
          <w:p>
            <w:pPr>
              <w:pStyle w:val="Compact"/>
              <w:jc w:val="center"/>
            </w:pPr>
            <w:r>
              <w:t xml:space="preserve">0.06302</w:t>
            </w:r>
          </w:p>
        </w:tc>
        <w:tc>
          <w:p>
            <w:pPr>
              <w:pStyle w:val="Compact"/>
              <w:jc w:val="center"/>
            </w:pPr>
            <w:r>
              <w:t xml:space="preserve">0.03756</w:t>
            </w:r>
          </w:p>
        </w:tc>
        <w:tc>
          <w:p>
            <w:pPr>
              <w:pStyle w:val="Compact"/>
              <w:jc w:val="center"/>
            </w:pPr>
            <w:r>
              <w:t xml:space="preserve">0.05576</w:t>
            </w:r>
          </w:p>
        </w:tc>
        <w:tc>
          <w:p>
            <w:pPr>
              <w:pStyle w:val="Compact"/>
              <w:jc w:val="center"/>
            </w:pPr>
            <w:r>
              <w:t xml:space="preserve">0.08526</w:t>
            </w:r>
          </w:p>
        </w:tc>
      </w:tr>
      <w:tr>
        <w:tc>
          <w:p>
            <w:pPr>
              <w:pStyle w:val="Compact"/>
              <w:jc w:val="center"/>
            </w:pPr>
            <w:r>
              <w:t xml:space="preserve">0.08741</w:t>
            </w:r>
          </w:p>
        </w:tc>
        <w:tc>
          <w:p>
            <w:pPr>
              <w:pStyle w:val="Compact"/>
              <w:jc w:val="center"/>
            </w:pPr>
            <w:r>
              <w:t xml:space="preserve">0.06756</w:t>
            </w:r>
          </w:p>
        </w:tc>
        <w:tc>
          <w:p>
            <w:pPr>
              <w:pStyle w:val="Compact"/>
              <w:jc w:val="center"/>
            </w:pPr>
            <w:r>
              <w:t xml:space="preserve">0.08766</w:t>
            </w:r>
          </w:p>
        </w:tc>
        <w:tc>
          <w:p>
            <w:pPr>
              <w:pStyle w:val="Compact"/>
              <w:jc w:val="center"/>
            </w:pPr>
            <w:r>
              <w:t xml:space="preserve">0.09363</w:t>
            </w:r>
          </w:p>
        </w:tc>
        <w:tc>
          <w:p>
            <w:pPr>
              <w:pStyle w:val="Compact"/>
              <w:jc w:val="center"/>
            </w:pPr>
            <w:r>
              <w:t xml:space="preserve">0.07065</w:t>
            </w:r>
          </w:p>
        </w:tc>
        <w:tc>
          <w:p>
            <w:pPr>
              <w:pStyle w:val="Compact"/>
              <w:jc w:val="center"/>
            </w:pPr>
            <w:r>
              <w:t xml:space="preserve">0.03971</w:t>
            </w:r>
          </w:p>
        </w:tc>
        <w:tc>
          <w:p>
            <w:pPr>
              <w:pStyle w:val="Compact"/>
              <w:jc w:val="center"/>
            </w:pPr>
            <w:r>
              <w:t xml:space="preserve">0.06181</w:t>
            </w:r>
          </w:p>
        </w:tc>
        <w:tc>
          <w:p>
            <w:pPr>
              <w:pStyle w:val="Compact"/>
              <w:jc w:val="center"/>
            </w:pPr>
            <w:r>
              <w:t xml:space="preserve">0.09292</w:t>
            </w:r>
          </w:p>
        </w:tc>
      </w:tr>
      <w:tr>
        <w:tc>
          <w:p>
            <w:pPr>
              <w:pStyle w:val="Compact"/>
              <w:jc w:val="center"/>
            </w:pPr>
            <w:r>
              <w:t xml:space="preserve">0.09411</w:t>
            </w:r>
          </w:p>
        </w:tc>
        <w:tc>
          <w:p>
            <w:pPr>
              <w:pStyle w:val="Compact"/>
              <w:jc w:val="center"/>
            </w:pPr>
            <w:r>
              <w:t xml:space="preserve">0.07191</w:t>
            </w:r>
          </w:p>
        </w:tc>
        <w:tc>
          <w:p>
            <w:pPr>
              <w:pStyle w:val="Compact"/>
              <w:jc w:val="center"/>
            </w:pPr>
            <w:r>
              <w:t xml:space="preserve">0.09588</w:t>
            </w:r>
          </w:p>
        </w:tc>
        <w:tc>
          <w:p>
            <w:pPr>
              <w:pStyle w:val="Compact"/>
              <w:jc w:val="center"/>
            </w:pPr>
            <w:r>
              <w:t xml:space="preserve">0.102</w:t>
            </w:r>
          </w:p>
        </w:tc>
        <w:tc>
          <w:p>
            <w:pPr>
              <w:pStyle w:val="Compact"/>
              <w:jc w:val="center"/>
            </w:pPr>
            <w:r>
              <w:t xml:space="preserve">0.08375</w:t>
            </w:r>
          </w:p>
        </w:tc>
        <w:tc>
          <w:p>
            <w:pPr>
              <w:pStyle w:val="Compact"/>
              <w:jc w:val="center"/>
            </w:pPr>
            <w:r>
              <w:t xml:space="preserve">0.0417</w:t>
            </w:r>
          </w:p>
        </w:tc>
        <w:tc>
          <w:p>
            <w:pPr>
              <w:pStyle w:val="Compact"/>
              <w:jc w:val="center"/>
            </w:pPr>
            <w:r>
              <w:t xml:space="preserve">0.06839</w:t>
            </w:r>
          </w:p>
        </w:tc>
        <w:tc>
          <w:p>
            <w:pPr>
              <w:pStyle w:val="Compact"/>
              <w:jc w:val="center"/>
            </w:pPr>
            <w:r>
              <w:t xml:space="preserve">0.101</w:t>
            </w:r>
          </w:p>
        </w:tc>
      </w:tr>
    </w:tbl>
    <w:tbl>
      <w:tblPr>
        <w:tblStyle w:val="Table"/>
        <w:tblW w:type="pct" w:w="4583.333333333333"/>
        <w:tblLook w:firstRow="1"/>
      </w:tblPr>
      <w:tblGrid>
        <w:gridCol w:w="990"/>
        <w:gridCol w:w="990"/>
        <w:gridCol w:w="990"/>
        <w:gridCol w:w="990"/>
        <w:gridCol w:w="990"/>
        <w:gridCol w:w="1320"/>
        <w:gridCol w:w="990"/>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r>
      <w:tr>
        <w:tc>
          <w:p>
            <w:pPr>
              <w:pStyle w:val="Compact"/>
              <w:jc w:val="center"/>
            </w:pPr>
            <w:r>
              <w:t xml:space="preserve">0.9605</w:t>
            </w:r>
          </w:p>
        </w:tc>
        <w:tc>
          <w:p>
            <w:pPr>
              <w:pStyle w:val="Compact"/>
              <w:jc w:val="center"/>
            </w:pPr>
            <w:r>
              <w:t xml:space="preserve">0.8613</w:t>
            </w:r>
          </w:p>
        </w:tc>
        <w:tc>
          <w:p>
            <w:pPr>
              <w:pStyle w:val="Compact"/>
              <w:jc w:val="center"/>
            </w:pPr>
            <w:r>
              <w:t xml:space="preserve">0.9757</w:t>
            </w:r>
          </w:p>
        </w:tc>
        <w:tc>
          <w:p>
            <w:pPr>
              <w:pStyle w:val="Compact"/>
              <w:jc w:val="center"/>
            </w:pPr>
            <w:r>
              <w:t xml:space="preserve">0.8988</w:t>
            </w:r>
          </w:p>
        </w:tc>
        <w:tc>
          <w:p>
            <w:pPr>
              <w:pStyle w:val="Compact"/>
              <w:jc w:val="center"/>
            </w:pPr>
            <w:r>
              <w:t xml:space="preserve">0.8913</w:t>
            </w:r>
          </w:p>
        </w:tc>
        <w:tc>
          <w:p>
            <w:pPr>
              <w:pStyle w:val="Compact"/>
              <w:jc w:val="center"/>
            </w:pPr>
            <w:r>
              <w:t xml:space="preserve">0.7058</w:t>
            </w:r>
          </w:p>
        </w:tc>
        <w:tc>
          <w:p>
            <w:pPr>
              <w:pStyle w:val="Compact"/>
              <w:jc w:val="center"/>
            </w:pPr>
            <w:r>
              <w:t xml:space="preserve">0.7535</w:t>
            </w:r>
          </w:p>
        </w:tc>
      </w:tr>
      <w:tr>
        <w:tc>
          <w:p>
            <w:pPr>
              <w:pStyle w:val="Compact"/>
              <w:jc w:val="center"/>
            </w:pPr>
            <w:r>
              <w:t xml:space="preserve">0.9604</w:t>
            </w:r>
          </w:p>
        </w:tc>
        <w:tc>
          <w:p>
            <w:pPr>
              <w:pStyle w:val="Compact"/>
              <w:jc w:val="center"/>
            </w:pPr>
            <w:r>
              <w:t xml:space="preserve">0.8302</w:t>
            </w:r>
          </w:p>
        </w:tc>
        <w:tc>
          <w:p>
            <w:pPr>
              <w:pStyle w:val="Compact"/>
              <w:jc w:val="center"/>
            </w:pPr>
            <w:r>
              <w:t xml:space="preserve">0.879</w:t>
            </w:r>
          </w:p>
        </w:tc>
        <w:tc>
          <w:p>
            <w:pPr>
              <w:pStyle w:val="Compact"/>
              <w:jc w:val="center"/>
            </w:pPr>
            <w:r>
              <w:t xml:space="preserve">0.9175</w:t>
            </w:r>
          </w:p>
        </w:tc>
        <w:tc>
          <w:p>
            <w:pPr>
              <w:pStyle w:val="Compact"/>
              <w:jc w:val="center"/>
            </w:pPr>
            <w:r>
              <w:t xml:space="preserve">0.7051</w:t>
            </w:r>
          </w:p>
        </w:tc>
        <w:tc>
          <w:p>
            <w:pPr>
              <w:pStyle w:val="Compact"/>
              <w:jc w:val="center"/>
            </w:pPr>
            <w:r>
              <w:t xml:space="preserve">0.5952</w:t>
            </w:r>
          </w:p>
        </w:tc>
        <w:tc>
          <w:p>
            <w:pPr>
              <w:pStyle w:val="Compact"/>
              <w:jc w:val="center"/>
            </w:pPr>
            <w:r>
              <w:t xml:space="preserve">0.6525</w:t>
            </w:r>
          </w:p>
        </w:tc>
      </w:tr>
      <w:tr>
        <w:tc>
          <w:p>
            <w:pPr>
              <w:pStyle w:val="Compact"/>
              <w:jc w:val="center"/>
            </w:pPr>
            <w:r>
              <w:t xml:space="preserve">0.9641</w:t>
            </w:r>
          </w:p>
        </w:tc>
        <w:tc>
          <w:p>
            <w:pPr>
              <w:pStyle w:val="Compact"/>
              <w:jc w:val="center"/>
            </w:pPr>
            <w:r>
              <w:t xml:space="preserve">0.8172</w:t>
            </w:r>
          </w:p>
        </w:tc>
        <w:tc>
          <w:p>
            <w:pPr>
              <w:pStyle w:val="Compact"/>
              <w:jc w:val="center"/>
            </w:pPr>
            <w:r>
              <w:t xml:space="preserve">0.861</w:t>
            </w:r>
          </w:p>
        </w:tc>
        <w:tc>
          <w:p>
            <w:pPr>
              <w:pStyle w:val="Compact"/>
              <w:jc w:val="center"/>
            </w:pPr>
            <w:r>
              <w:t xml:space="preserve">0.9328</w:t>
            </w:r>
          </w:p>
        </w:tc>
        <w:tc>
          <w:p>
            <w:pPr>
              <w:pStyle w:val="Compact"/>
              <w:jc w:val="center"/>
            </w:pPr>
            <w:r>
              <w:t xml:space="preserve">0.677</w:t>
            </w:r>
          </w:p>
        </w:tc>
        <w:tc>
          <w:p>
            <w:pPr>
              <w:pStyle w:val="Compact"/>
              <w:jc w:val="center"/>
            </w:pPr>
            <w:r>
              <w:t xml:space="preserve">0.5539</w:t>
            </w:r>
          </w:p>
        </w:tc>
        <w:tc>
          <w:p>
            <w:pPr>
              <w:pStyle w:val="Compact"/>
              <w:jc w:val="center"/>
            </w:pPr>
            <w:r>
              <w:t xml:space="preserve">0.6281</w:t>
            </w:r>
          </w:p>
        </w:tc>
      </w:tr>
      <w:tr>
        <w:tc>
          <w:p>
            <w:pPr>
              <w:pStyle w:val="Compact"/>
              <w:jc w:val="center"/>
            </w:pPr>
            <w:r>
              <w:t xml:space="preserve">0.9651</w:t>
            </w:r>
          </w:p>
        </w:tc>
        <w:tc>
          <w:p>
            <w:pPr>
              <w:pStyle w:val="Compact"/>
              <w:jc w:val="center"/>
            </w:pPr>
            <w:r>
              <w:t xml:space="preserve">0.8048</w:t>
            </w:r>
          </w:p>
        </w:tc>
        <w:tc>
          <w:p>
            <w:pPr>
              <w:pStyle w:val="Compact"/>
              <w:jc w:val="center"/>
            </w:pPr>
            <w:r>
              <w:t xml:space="preserve">0.8739</w:t>
            </w:r>
          </w:p>
        </w:tc>
        <w:tc>
          <w:p>
            <w:pPr>
              <w:pStyle w:val="Compact"/>
              <w:jc w:val="center"/>
            </w:pPr>
            <w:r>
              <w:t xml:space="preserve">0.9572</w:t>
            </w:r>
          </w:p>
        </w:tc>
        <w:tc>
          <w:p>
            <w:pPr>
              <w:pStyle w:val="Compact"/>
              <w:jc w:val="center"/>
            </w:pPr>
            <w:r>
              <w:t xml:space="preserve">0.5999</w:t>
            </w:r>
          </w:p>
        </w:tc>
        <w:tc>
          <w:p>
            <w:pPr>
              <w:pStyle w:val="Compact"/>
              <w:jc w:val="center"/>
            </w:pPr>
            <w:r>
              <w:t xml:space="preserve">0.5332</w:t>
            </w:r>
          </w:p>
        </w:tc>
        <w:tc>
          <w:p>
            <w:pPr>
              <w:pStyle w:val="Compact"/>
              <w:jc w:val="center"/>
            </w:pPr>
            <w:r>
              <w:t xml:space="preserve">0.613</w:t>
            </w:r>
          </w:p>
        </w:tc>
      </w:tr>
      <w:tr>
        <w:tc>
          <w:p>
            <w:pPr>
              <w:pStyle w:val="Compact"/>
              <w:jc w:val="center"/>
            </w:pPr>
            <w:r>
              <w:t xml:space="preserve">0.9767</w:t>
            </w:r>
          </w:p>
        </w:tc>
        <w:tc>
          <w:p>
            <w:pPr>
              <w:pStyle w:val="Compact"/>
              <w:jc w:val="center"/>
            </w:pPr>
            <w:r>
              <w:t xml:space="preserve">0.813</w:t>
            </w:r>
          </w:p>
        </w:tc>
        <w:tc>
          <w:p>
            <w:pPr>
              <w:pStyle w:val="Compact"/>
              <w:jc w:val="center"/>
            </w:pPr>
            <w:r>
              <w:t xml:space="preserve">0.8915</w:t>
            </w:r>
          </w:p>
        </w:tc>
        <w:tc>
          <w:p>
            <w:pPr>
              <w:pStyle w:val="Compact"/>
              <w:jc w:val="center"/>
            </w:pPr>
            <w:r>
              <w:t xml:space="preserve">0.9622</w:t>
            </w:r>
          </w:p>
        </w:tc>
        <w:tc>
          <w:p>
            <w:pPr>
              <w:pStyle w:val="Compact"/>
              <w:jc w:val="center"/>
            </w:pPr>
            <w:r>
              <w:t xml:space="preserve">0.5858</w:t>
            </w:r>
          </w:p>
        </w:tc>
        <w:tc>
          <w:p>
            <w:pPr>
              <w:pStyle w:val="Compact"/>
              <w:jc w:val="center"/>
            </w:pPr>
            <w:r>
              <w:t xml:space="preserve">0.5294</w:t>
            </w:r>
          </w:p>
        </w:tc>
        <w:tc>
          <w:p>
            <w:pPr>
              <w:pStyle w:val="Compact"/>
              <w:jc w:val="center"/>
            </w:pPr>
            <w:r>
              <w:t xml:space="preserve">0.6264</w:t>
            </w:r>
          </w:p>
        </w:tc>
      </w:tr>
      <w:tr>
        <w:tc>
          <w:p>
            <w:pPr>
              <w:pStyle w:val="Compact"/>
              <w:jc w:val="center"/>
            </w:pPr>
            <w:r>
              <w:t xml:space="preserve">0.9799</w:t>
            </w:r>
          </w:p>
        </w:tc>
        <w:tc>
          <w:p>
            <w:pPr>
              <w:pStyle w:val="Compact"/>
              <w:jc w:val="center"/>
            </w:pPr>
            <w:r>
              <w:t xml:space="preserve">0.8054</w:t>
            </w:r>
          </w:p>
        </w:tc>
        <w:tc>
          <w:p>
            <w:pPr>
              <w:pStyle w:val="Compact"/>
              <w:jc w:val="center"/>
            </w:pPr>
            <w:r>
              <w:t xml:space="preserve">0.8953</w:t>
            </w:r>
          </w:p>
        </w:tc>
        <w:tc>
          <w:p>
            <w:pPr>
              <w:pStyle w:val="Compact"/>
              <w:jc w:val="center"/>
            </w:pPr>
            <w:r>
              <w:t xml:space="preserve">0.9741</w:t>
            </w:r>
          </w:p>
        </w:tc>
        <w:tc>
          <w:p>
            <w:pPr>
              <w:pStyle w:val="Compact"/>
              <w:jc w:val="center"/>
            </w:pPr>
            <w:r>
              <w:t xml:space="preserve">0.6068</w:t>
            </w:r>
          </w:p>
        </w:tc>
        <w:tc>
          <w:p>
            <w:pPr>
              <w:pStyle w:val="Compact"/>
              <w:jc w:val="center"/>
            </w:pPr>
            <w:r>
              <w:t xml:space="preserve">0.5178</w:t>
            </w:r>
          </w:p>
        </w:tc>
        <w:tc>
          <w:p>
            <w:pPr>
              <w:pStyle w:val="Compact"/>
              <w:jc w:val="center"/>
            </w:pPr>
            <w:r>
              <w:t xml:space="preserve">0.6281</w:t>
            </w:r>
          </w:p>
        </w:tc>
      </w:tr>
      <w:tr>
        <w:tc>
          <w:p>
            <w:pPr>
              <w:pStyle w:val="Compact"/>
              <w:jc w:val="center"/>
            </w:pPr>
            <w:r>
              <w:t xml:space="preserve">0.9748</w:t>
            </w:r>
          </w:p>
        </w:tc>
        <w:tc>
          <w:p>
            <w:pPr>
              <w:pStyle w:val="Compact"/>
              <w:jc w:val="center"/>
            </w:pPr>
            <w:r>
              <w:t xml:space="preserve">0.7879</w:t>
            </w:r>
          </w:p>
        </w:tc>
        <w:tc>
          <w:p>
            <w:pPr>
              <w:pStyle w:val="Compact"/>
              <w:jc w:val="center"/>
            </w:pPr>
            <w:r>
              <w:t xml:space="preserve">0.9054</w:t>
            </w:r>
          </w:p>
        </w:tc>
        <w:tc>
          <w:p>
            <w:pPr>
              <w:pStyle w:val="Compact"/>
              <w:jc w:val="center"/>
            </w:pPr>
            <w:r>
              <w:t xml:space="preserve">0.9851</w:t>
            </w:r>
          </w:p>
        </w:tc>
        <w:tc>
          <w:p>
            <w:pPr>
              <w:pStyle w:val="Compact"/>
              <w:jc w:val="center"/>
            </w:pPr>
            <w:r>
              <w:t xml:space="preserve">0.6316</w:t>
            </w:r>
          </w:p>
        </w:tc>
        <w:tc>
          <w:p>
            <w:pPr>
              <w:pStyle w:val="Compact"/>
              <w:jc w:val="center"/>
            </w:pPr>
            <w:r>
              <w:t xml:space="preserve">0.4924</w:t>
            </w:r>
          </w:p>
        </w:tc>
        <w:tc>
          <w:p>
            <w:pPr>
              <w:pStyle w:val="Compact"/>
              <w:jc w:val="center"/>
            </w:pPr>
            <w:r>
              <w:t xml:space="preserve">0.6297</w:t>
            </w:r>
          </w:p>
        </w:tc>
      </w:tr>
      <w:tr>
        <w:tc>
          <w:p>
            <w:pPr>
              <w:pStyle w:val="Compact"/>
              <w:jc w:val="center"/>
            </w:pPr>
            <w:r>
              <w:t xml:space="preserve">0.9639</w:t>
            </w:r>
          </w:p>
        </w:tc>
        <w:tc>
          <w:p>
            <w:pPr>
              <w:pStyle w:val="Compact"/>
              <w:jc w:val="center"/>
            </w:pPr>
            <w:r>
              <w:t xml:space="preserve">0.7692</w:t>
            </w:r>
          </w:p>
        </w:tc>
        <w:tc>
          <w:p>
            <w:pPr>
              <w:pStyle w:val="Compact"/>
              <w:jc w:val="center"/>
            </w:pPr>
            <w:r>
              <w:t xml:space="preserve">0.9097</w:t>
            </w:r>
          </w:p>
        </w:tc>
        <w:tc>
          <w:p>
            <w:pPr>
              <w:pStyle w:val="Compact"/>
              <w:jc w:val="center"/>
            </w:pPr>
            <w:r>
              <w:t xml:space="preserve">0.9958</w:t>
            </w:r>
          </w:p>
        </w:tc>
        <w:tc>
          <w:p>
            <w:pPr>
              <w:pStyle w:val="Compact"/>
              <w:jc w:val="center"/>
            </w:pPr>
            <w:r>
              <w:t xml:space="preserve">0.642</w:t>
            </w:r>
          </w:p>
        </w:tc>
        <w:tc>
          <w:p>
            <w:pPr>
              <w:pStyle w:val="Compact"/>
              <w:jc w:val="center"/>
            </w:pPr>
            <w:r>
              <w:t xml:space="preserve">0.4642</w:t>
            </w:r>
          </w:p>
        </w:tc>
        <w:tc>
          <w:p>
            <w:pPr>
              <w:pStyle w:val="Compact"/>
              <w:jc w:val="center"/>
            </w:pPr>
            <w:r>
              <w:t xml:space="preserve">0.6303</w:t>
            </w:r>
          </w:p>
        </w:tc>
      </w:tr>
      <w:tr>
        <w:tc>
          <w:p>
            <w:pPr>
              <w:pStyle w:val="Compact"/>
              <w:jc w:val="center"/>
            </w:pPr>
            <w:r>
              <w:t xml:space="preserve">0.9569</w:t>
            </w:r>
          </w:p>
        </w:tc>
        <w:tc>
          <w:p>
            <w:pPr>
              <w:pStyle w:val="Compact"/>
              <w:jc w:val="center"/>
            </w:pPr>
            <w:r>
              <w:t xml:space="preserve">0.7606</w:t>
            </w:r>
          </w:p>
        </w:tc>
        <w:tc>
          <w:p>
            <w:pPr>
              <w:pStyle w:val="Compact"/>
              <w:jc w:val="center"/>
            </w:pPr>
            <w:r>
              <w:t xml:space="preserve">0.92</w:t>
            </w:r>
          </w:p>
        </w:tc>
        <w:tc>
          <w:p>
            <w:pPr>
              <w:pStyle w:val="Compact"/>
              <w:jc w:val="center"/>
            </w:pPr>
            <w:r>
              <w:t xml:space="preserve">0.9991</w:t>
            </w:r>
          </w:p>
        </w:tc>
        <w:tc>
          <w:p>
            <w:pPr>
              <w:pStyle w:val="Compact"/>
              <w:jc w:val="center"/>
            </w:pPr>
            <w:r>
              <w:t xml:space="preserve">0.6891</w:t>
            </w:r>
          </w:p>
        </w:tc>
        <w:tc>
          <w:p>
            <w:pPr>
              <w:pStyle w:val="Compact"/>
              <w:jc w:val="center"/>
            </w:pPr>
            <w:r>
              <w:t xml:space="preserve">0.4532</w:t>
            </w:r>
          </w:p>
        </w:tc>
        <w:tc>
          <w:p>
            <w:pPr>
              <w:pStyle w:val="Compact"/>
              <w:jc w:val="center"/>
            </w:pPr>
            <w:r>
              <w:t xml:space="preserve">0.6426</w:t>
            </w:r>
          </w:p>
        </w:tc>
      </w:tr>
      <w:tr>
        <w:tc>
          <w:p>
            <w:pPr>
              <w:pStyle w:val="Compact"/>
              <w:jc w:val="center"/>
            </w:pPr>
            <w:r>
              <w:t xml:space="preserve">0.9491</w:t>
            </w:r>
          </w:p>
        </w:tc>
        <w:tc>
          <w:p>
            <w:pPr>
              <w:pStyle w:val="Compact"/>
              <w:jc w:val="center"/>
            </w:pPr>
            <w:r>
              <w:t xml:space="preserve">0.746</w:t>
            </w:r>
          </w:p>
        </w:tc>
        <w:tc>
          <w:p>
            <w:pPr>
              <w:pStyle w:val="Compact"/>
              <w:jc w:val="center"/>
            </w:pPr>
            <w:r>
              <w:t xml:space="preserve">0.9332</w:t>
            </w:r>
          </w:p>
        </w:tc>
        <w:tc>
          <w:p>
            <w:pPr>
              <w:pStyle w:val="Compact"/>
              <w:jc w:val="center"/>
            </w:pPr>
            <w:r>
              <w:t xml:space="preserve">1.004</w:t>
            </w:r>
          </w:p>
        </w:tc>
        <w:tc>
          <w:p>
            <w:pPr>
              <w:pStyle w:val="Compact"/>
              <w:jc w:val="center"/>
            </w:pPr>
            <w:r>
              <w:t xml:space="preserve">0.7391</w:t>
            </w:r>
          </w:p>
        </w:tc>
        <w:tc>
          <w:p>
            <w:pPr>
              <w:pStyle w:val="Compact"/>
              <w:jc w:val="center"/>
            </w:pPr>
            <w:r>
              <w:t xml:space="preserve">0.4406</w:t>
            </w:r>
          </w:p>
        </w:tc>
        <w:tc>
          <w:p>
            <w:pPr>
              <w:pStyle w:val="Compact"/>
              <w:jc w:val="center"/>
            </w:pPr>
            <w:r>
              <w:t xml:space="preserve">0.654</w:t>
            </w:r>
          </w:p>
        </w:tc>
      </w:tr>
      <w:tr>
        <w:tc>
          <w:p>
            <w:pPr>
              <w:pStyle w:val="Compact"/>
              <w:jc w:val="center"/>
            </w:pPr>
            <w:r>
              <w:t xml:space="preserve">0.9408</w:t>
            </w:r>
          </w:p>
        </w:tc>
        <w:tc>
          <w:p>
            <w:pPr>
              <w:pStyle w:val="Compact"/>
              <w:jc w:val="center"/>
            </w:pPr>
            <w:r>
              <w:t xml:space="preserve">0.7271</w:t>
            </w:r>
          </w:p>
        </w:tc>
        <w:tc>
          <w:p>
            <w:pPr>
              <w:pStyle w:val="Compact"/>
              <w:jc w:val="center"/>
            </w:pPr>
            <w:r>
              <w:t xml:space="preserve">0.9434</w:t>
            </w:r>
          </w:p>
        </w:tc>
        <w:tc>
          <w:p>
            <w:pPr>
              <w:pStyle w:val="Compact"/>
              <w:jc w:val="center"/>
            </w:pPr>
            <w:r>
              <w:t xml:space="preserve">1.008</w:t>
            </w:r>
          </w:p>
        </w:tc>
        <w:tc>
          <w:p>
            <w:pPr>
              <w:pStyle w:val="Compact"/>
              <w:jc w:val="center"/>
            </w:pPr>
            <w:r>
              <w:t xml:space="preserve">0.7604</w:t>
            </w:r>
          </w:p>
        </w:tc>
        <w:tc>
          <w:p>
            <w:pPr>
              <w:pStyle w:val="Compact"/>
              <w:jc w:val="center"/>
            </w:pPr>
            <w:r>
              <w:t xml:space="preserve">0.4273</w:t>
            </w:r>
          </w:p>
        </w:tc>
        <w:tc>
          <w:p>
            <w:pPr>
              <w:pStyle w:val="Compact"/>
              <w:jc w:val="center"/>
            </w:pPr>
            <w:r>
              <w:t xml:space="preserve">0.6652</w:t>
            </w:r>
          </w:p>
        </w:tc>
      </w:tr>
      <w:tr>
        <w:tc>
          <w:p>
            <w:pPr>
              <w:pStyle w:val="Compact"/>
              <w:jc w:val="center"/>
            </w:pPr>
            <w:r>
              <w:t xml:space="preserve">0.932</w:t>
            </w:r>
          </w:p>
        </w:tc>
        <w:tc>
          <w:p>
            <w:pPr>
              <w:pStyle w:val="Compact"/>
              <w:jc w:val="center"/>
            </w:pPr>
            <w:r>
              <w:t xml:space="preserve">0.7122</w:t>
            </w:r>
          </w:p>
        </w:tc>
        <w:tc>
          <w:p>
            <w:pPr>
              <w:pStyle w:val="Compact"/>
              <w:jc w:val="center"/>
            </w:pPr>
            <w:r>
              <w:t xml:space="preserve">0.9495</w:t>
            </w:r>
          </w:p>
        </w:tc>
        <w:tc>
          <w:p>
            <w:pPr>
              <w:pStyle w:val="Compact"/>
              <w:jc w:val="center"/>
            </w:pPr>
            <w:r>
              <w:t xml:space="preserve">1.01</w:t>
            </w:r>
          </w:p>
        </w:tc>
        <w:tc>
          <w:p>
            <w:pPr>
              <w:pStyle w:val="Compact"/>
              <w:jc w:val="center"/>
            </w:pPr>
            <w:r>
              <w:t xml:space="preserve">0.8293</w:t>
            </w:r>
          </w:p>
        </w:tc>
        <w:tc>
          <w:p>
            <w:pPr>
              <w:pStyle w:val="Compact"/>
              <w:jc w:val="center"/>
            </w:pPr>
            <w:r>
              <w:t xml:space="preserve">0.4129</w:t>
            </w:r>
          </w:p>
        </w:tc>
        <w:tc>
          <w:p>
            <w:pPr>
              <w:pStyle w:val="Compact"/>
              <w:jc w:val="center"/>
            </w:pPr>
            <w:r>
              <w:t xml:space="preserve">0.6773</w:t>
            </w:r>
          </w:p>
        </w:tc>
      </w:tr>
    </w:tbl>
    <w:p>
      <w:pPr>
        <w:pStyle w:val="BodyText"/>
      </w:pPr>
      <w:r>
        <w:t xml:space="preserve">We have to check residuals for all models if it possible :)</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ARIMA(1,1,1) errors</w:t>
      </w:r>
      <w:r>
        <w:br/>
      </w:r>
      <w:r>
        <w:rPr>
          <w:rStyle w:val="VerbatimChar"/>
        </w:rPr>
        <w:t xml:space="preserve">## Q* = 6.2143, df = 6, p-value = 0.3996</w:t>
      </w:r>
      <w:r>
        <w:br/>
      </w:r>
      <w:r>
        <w:rPr>
          <w:rStyle w:val="VerbatimChar"/>
        </w:rPr>
        <w:t xml:space="preserve">## </w:t>
      </w:r>
      <w:r>
        <w:br/>
      </w:r>
      <w:r>
        <w:rPr>
          <w:rStyle w:val="VerbatimChar"/>
        </w:rPr>
        <w:t xml:space="preserve">## Model df: 4.   Total lags used: 10</w:t>
      </w:r>
    </w:p>
    <w:p>
      <w:pPr>
        <w:pStyle w:val="FirstParagraph"/>
      </w:pPr>
      <w:r>
        <w:t xml:space="preserve">To see more tests please look to the appendix.</w:t>
      </w:r>
    </w:p>
    <w:p>
      <w:pPr>
        <w:pStyle w:val="Heading3"/>
      </w:pPr>
      <w:bookmarkStart w:id="43" w:name="references"/>
      <w:r>
        <w:t xml:space="preserve">References</w:t>
      </w:r>
      <w:bookmarkEnd w:id="43"/>
    </w:p>
    <w:p>
      <w:pPr>
        <w:numPr>
          <w:ilvl w:val="0"/>
          <w:numId w:val="1001"/>
        </w:numPr>
        <w:pStyle w:val="Compact"/>
      </w:pPr>
      <w:hyperlink r:id="rId44">
        <w:r>
          <w:rPr>
            <w:rStyle w:val="Hyperlink"/>
          </w:rPr>
          <w:t xml:space="preserve">The best book about forecasting ever</w:t>
        </w:r>
      </w:hyperlink>
    </w:p>
    <w:p>
      <w:pPr>
        <w:numPr>
          <w:ilvl w:val="0"/>
          <w:numId w:val="1001"/>
        </w:numPr>
        <w:pStyle w:val="Compact"/>
      </w:pPr>
      <w:hyperlink r:id="rId45">
        <w:r>
          <w:rPr>
            <w:rStyle w:val="Hyperlink"/>
          </w:rPr>
          <w:t xml:space="preserve">Демешев Б.Б. Малаховская О.А. МАКРОЭКОНОМИЧЕСКОЕ ПРОГНОЗИРОВАНИЕ С ПОМОЩЬЮ BVAR ЛИТТЕРМАНА</w:t>
        </w:r>
      </w:hyperlink>
    </w:p>
    <w:p>
      <w:pPr>
        <w:pStyle w:val="Heading3"/>
      </w:pPr>
      <w:bookmarkStart w:id="46" w:name="appendix-with-sweet-graphs"/>
      <w:r>
        <w:t xml:space="preserve">Appendix with sweet graphs</w:t>
      </w:r>
      <w:bookmarkEnd w:id="46"/>
    </w:p>
    <w:p>
      <w:pPr>
        <w:pStyle w:val="FirstParagraph"/>
      </w:pPr>
      <w:r>
        <w:t xml:space="preserve">All graphs, code, rmd and some other things that makes</w:t>
      </w:r>
      <w:r>
        <w:t xml:space="preserve"> </w:t>
      </w:r>
      <w:r>
        <w:rPr>
          <w:strike/>
        </w:rPr>
        <w:t xml:space="preserve">me cry for a week</w:t>
      </w:r>
      <w:r>
        <w:t xml:space="preserve"> </w:t>
      </w:r>
      <w:r>
        <w:t xml:space="preserve">this work full you may fing on GitHub public repository</w:t>
      </w:r>
      <w:r>
        <w:t xml:space="preserve"> </w:t>
      </w:r>
      <w:hyperlink r:id="rId47">
        <w:r>
          <w:rPr>
            <w:rStyle w:val="Hyperlink"/>
          </w:rPr>
          <w:t xml:space="preserve">following this link</w:t>
        </w:r>
      </w:hyperlink>
      <w:r>
        <w:t xml:space="preserve"> </w:t>
      </w:r>
      <w:r>
        <w:t xml:space="preserve">:)</w:t>
      </w:r>
    </w:p>
    <w:p>
      <w:pPr>
        <w:pStyle w:val="BodyText"/>
      </w:pPr>
      <w:r>
        <w:t xml:space="preserve">P.S. I miss so much the faculty of economic science, sweet Poisson and room 2112 :c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forecasting" TargetMode="External" /><Relationship Type="http://schemas.openxmlformats.org/officeDocument/2006/relationships/hyperlink" Id="rId44" Target="https://otexts.com/fpp3/x11.html" TargetMode="External" /></Relationships>
</file>

<file path=word/_rels/footnotes.xml.rels><?xml version="1.0" encoding="UTF-8"?>
<Relationships xmlns="http://schemas.openxmlformats.org/package/2006/relationships"><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forecasting" TargetMode="External" /><Relationship Type="http://schemas.openxmlformats.org/officeDocument/2006/relationships/hyperlink" Id="rId44" Target="https://otexts.com/fpp3/x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dcterms:created xsi:type="dcterms:W3CDTF">2020-03-13T21:43:12Z</dcterms:created>
  <dcterms:modified xsi:type="dcterms:W3CDTF">2020-03-13T21:43:12Z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