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jc w:val="center"/>
        <w:rPr/>
      </w:pPr>
      <w:r w:rsidDel="00000000" w:rsidR="00000000" w:rsidRPr="00000000">
        <w:rPr>
          <w:rtl w:val="0"/>
        </w:rPr>
        <w:t xml:space="preserve">Table 1: Dataset Summary</w:t>
      </w:r>
    </w:p>
    <w:tbl>
      <w:tblPr>
        <w:tblStyle w:val="Table1"/>
        <w:tblW w:w="96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3"/>
        <w:gridCol w:w="1235"/>
        <w:gridCol w:w="1233"/>
        <w:gridCol w:w="1235"/>
        <w:gridCol w:w="1233"/>
        <w:gridCol w:w="2242"/>
        <w:tblGridChange w:id="0">
          <w:tblGrid>
            <w:gridCol w:w="1234"/>
            <w:gridCol w:w="1233"/>
            <w:gridCol w:w="1235"/>
            <w:gridCol w:w="1233"/>
            <w:gridCol w:w="1235"/>
            <w:gridCol w:w="1233"/>
            <w:gridCol w:w="2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scan 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reference*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30.5 ± 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T GE HDx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³ (Carhart-Harris 2016 PNAS)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33.5 ± 7.9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T Siemens Verio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²⁶ (Timmermann 2023 PNAS)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Modafinil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25-35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T Philips Achieva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²⁷ (Delli Pizzi 2025 NeuroImage)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Propofol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18-40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T Siemens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²⁸ (Naci 2018 Sci Rep)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34.4 ± 9.2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T Siemens Trio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²⁹ (Poldrack 2016)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gD0yBn9ssV5wHTtlT3AlZa3vA==">CgMxLjA4AHIhMUd6ODFXbzgzQmF4TDF0eHVaTHJ5NWhhRV9lUENua2FH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