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160"/>
        <w:jc w:val="center"/>
      </w:pPr>
      <w:r>
        <w:rPr>
          <w:rFonts w:ascii="Times New Roman" w:hAnsi="Times New Roman"/>
          <w:b/>
          <w:color w:val="93432C"/>
          <w:sz w:val="52"/>
        </w:rPr>
        <w:t>MANAGER SCHOOL</w:t>
      </w:r>
    </w:p>
    <w:p>
      <w:pPr>
        <w:jc w:val="center"/>
      </w:pPr>
      <w:r>
        <w:rPr>
          <w:rFonts w:ascii="Times New Roman" w:hAnsi="Times New Roman"/>
          <w:color w:val="686B64"/>
          <w:sz w:val="30"/>
        </w:rPr>
        <w:t>Registro e análise de notas escolares</w:t>
      </w:r>
    </w:p>
    <w:p/>
    <w:p/>
    <w:p/>
    <w:p>
      <w:pPr>
        <w:spacing w:after="280"/>
        <w:jc w:val="center"/>
      </w:pPr>
      <w:r>
        <w:rPr>
          <w:rFonts w:ascii="Times New Roman" w:hAnsi="Times New Roman"/>
          <w:color w:val="292B26"/>
          <w:sz w:val="24"/>
        </w:rPr>
        <w:t>Instituição:  __________________________________________</w:t>
      </w:r>
    </w:p>
    <w:p>
      <w:pPr>
        <w:spacing w:after="280"/>
        <w:jc w:val="center"/>
      </w:pPr>
      <w:r>
        <w:rPr>
          <w:rFonts w:ascii="Times New Roman" w:hAnsi="Times New Roman"/>
          <w:color w:val="292B26"/>
          <w:sz w:val="24"/>
        </w:rPr>
        <w:t>Curso/turma:  __________________________________________</w:t>
      </w:r>
    </w:p>
    <w:p>
      <w:pPr>
        <w:spacing w:after="280"/>
        <w:jc w:val="center"/>
      </w:pPr>
      <w:r>
        <w:rPr>
          <w:rFonts w:ascii="Times New Roman" w:hAnsi="Times New Roman"/>
          <w:color w:val="292B26"/>
          <w:sz w:val="24"/>
        </w:rPr>
        <w:t>Integrantes:  __________________________________________</w:t>
      </w:r>
    </w:p>
    <w:p>
      <w:pPr>
        <w:spacing w:after="280"/>
        <w:jc w:val="center"/>
      </w:pPr>
      <w:r>
        <w:rPr>
          <w:rFonts w:ascii="Times New Roman" w:hAnsi="Times New Roman"/>
          <w:color w:val="292B26"/>
          <w:sz w:val="24"/>
        </w:rPr>
        <w:t>Orientador(a):  __________________________________________</w:t>
      </w:r>
    </w:p>
    <w:p/>
    <w:p/>
    <w:p/>
    <w:p>
      <w:pPr>
        <w:jc w:val="center"/>
      </w:pPr>
      <w:r>
        <w:rPr>
          <w:rFonts w:ascii="Times New Roman" w:hAnsi="Times New Roman"/>
          <w:color w:val="686B64"/>
          <w:sz w:val="24"/>
        </w:rPr>
        <w:t>2026</w:t>
      </w:r>
    </w:p>
    <w:p>
      <w:r>
        <w:br w:type="page"/>
      </w:r>
    </w:p>
    <w:p>
      <w:r>
        <w:rPr>
          <w:rFonts w:ascii="Times New Roman" w:hAnsi="Times New Roman"/>
          <w:b/>
          <w:color w:val="292B26"/>
          <w:sz w:val="24"/>
        </w:rPr>
        <w:t>Instituição:</w:t>
      </w:r>
      <w:r>
        <w:rPr>
          <w:rFonts w:ascii="Times New Roman" w:hAnsi="Times New Roman"/>
          <w:b w:val="0"/>
          <w:color w:val="292B26"/>
          <w:sz w:val="24"/>
        </w:rPr>
        <w:t xml:space="preserve"> [preencher]</w:t>
      </w:r>
    </w:p>
    <w:p>
      <w:r>
        <w:rPr>
          <w:rFonts w:ascii="Times New Roman" w:hAnsi="Times New Roman"/>
          <w:b/>
          <w:color w:val="292B26"/>
          <w:sz w:val="24"/>
        </w:rPr>
        <w:t>Curso/turma:</w:t>
      </w:r>
      <w:r>
        <w:rPr>
          <w:rFonts w:ascii="Times New Roman" w:hAnsi="Times New Roman"/>
          <w:b w:val="0"/>
          <w:color w:val="292B26"/>
          <w:sz w:val="24"/>
        </w:rPr>
        <w:t xml:space="preserve"> [preencher]</w:t>
      </w:r>
    </w:p>
    <w:p>
      <w:r>
        <w:rPr>
          <w:rFonts w:ascii="Times New Roman" w:hAnsi="Times New Roman"/>
          <w:b/>
          <w:color w:val="292B26"/>
          <w:sz w:val="24"/>
        </w:rPr>
        <w:t>Integrantes:</w:t>
      </w:r>
      <w:r>
        <w:rPr>
          <w:rFonts w:ascii="Times New Roman" w:hAnsi="Times New Roman"/>
          <w:b w:val="0"/>
          <w:color w:val="292B26"/>
          <w:sz w:val="24"/>
        </w:rPr>
        <w:t xml:space="preserve"> [preencher]</w:t>
      </w:r>
    </w:p>
    <w:p>
      <w:r>
        <w:rPr>
          <w:rFonts w:ascii="Times New Roman" w:hAnsi="Times New Roman"/>
          <w:b/>
          <w:color w:val="292B26"/>
          <w:sz w:val="24"/>
        </w:rPr>
        <w:t>Orientador(a):</w:t>
      </w:r>
      <w:r>
        <w:rPr>
          <w:rFonts w:ascii="Times New Roman" w:hAnsi="Times New Roman"/>
          <w:b w:val="0"/>
          <w:color w:val="292B26"/>
          <w:sz w:val="24"/>
        </w:rPr>
        <w:t xml:space="preserve"> [preencher]</w:t>
      </w:r>
    </w:p>
    <w:p>
      <w:r>
        <w:rPr>
          <w:rFonts w:ascii="Times New Roman" w:hAnsi="Times New Roman"/>
          <w:b/>
          <w:color w:val="292B26"/>
          <w:sz w:val="24"/>
        </w:rPr>
        <w:t>Local e ano:</w:t>
      </w:r>
      <w:r>
        <w:rPr>
          <w:rFonts w:ascii="Times New Roman" w:hAnsi="Times New Roman"/>
          <w:b w:val="0"/>
          <w:color w:val="292B26"/>
          <w:sz w:val="24"/>
        </w:rPr>
        <w:t xml:space="preserve"> [preencher]</w:t>
      </w:r>
    </w:p>
    <w:p>
      <w:pPr>
        <w:pStyle w:val="Heading1"/>
      </w:pPr>
      <w:r>
        <w:t>1. Apresentação</w:t>
      </w:r>
    </w:p>
    <w:p>
      <w:pPr>
        <w:ind w:firstLine="709"/>
      </w:pPr>
      <w:r>
        <w:rPr>
          <w:rFonts w:ascii="Times New Roman" w:hAnsi="Times New Roman"/>
          <w:color w:val="292B26"/>
          <w:sz w:val="24"/>
        </w:rPr>
        <w:t>O Manager School é um protótipo de aplicação web para registrar notas e consultar o desempenho de alunos. A pessoa usuária cadastra ou seleciona um aluno, informa a disciplina, o professor, a avaliação, o bimestre e a nota. Depois pode consultar o histórico individual e gerar relatórios para uma turma ou aluno.</w:t>
      </w:r>
    </w:p>
    <w:p>
      <w:pPr>
        <w:ind w:firstLine="709"/>
      </w:pPr>
      <w:r>
        <w:rPr>
          <w:rFonts w:ascii="Times New Roman" w:hAnsi="Times New Roman"/>
          <w:color w:val="292B26"/>
          <w:sz w:val="24"/>
        </w:rPr>
        <w:t>O projeto foi desenvolvido como exercício acadêmico para praticar programação em Python, organização de dados relacionais, criação de páginas web e geração de relatórios.</w:t>
      </w:r>
    </w:p>
    <w:p>
      <w:pPr>
        <w:pStyle w:val="Heading1"/>
      </w:pPr>
      <w:r>
        <w:t>2. Problema e objetivo</w:t>
      </w:r>
    </w:p>
    <w:p>
      <w:pPr>
        <w:ind w:firstLine="709"/>
      </w:pPr>
      <w:r>
        <w:rPr>
          <w:rFonts w:ascii="Times New Roman" w:hAnsi="Times New Roman"/>
          <w:color w:val="292B26"/>
          <w:sz w:val="24"/>
        </w:rPr>
        <w:t>Registros de avaliações podem ficar dispersos em planilhas e anotações. O sistema reúne esses registros em um banco SQLite e permite consultar os resultados por aluno, disciplina e bimestre.</w:t>
      </w:r>
    </w:p>
    <w:p>
      <w:r>
        <w:rPr>
          <w:rFonts w:ascii="Times New Roman" w:hAnsi="Times New Roman"/>
          <w:b/>
          <w:color w:val="292B26"/>
          <w:sz w:val="24"/>
        </w:rPr>
        <w:t>Objetivo geral:</w:t>
      </w:r>
      <w:r>
        <w:rPr>
          <w:rFonts w:ascii="Times New Roman" w:hAnsi="Times New Roman"/>
          <w:b w:val="0"/>
          <w:color w:val="292B26"/>
          <w:sz w:val="24"/>
        </w:rPr>
        <w:t xml:space="preserve"> desenvolver uma aplicação web didática que permita cadastrar, consultar e resumir notas escolares.</w:t>
      </w:r>
    </w:p>
    <w:p>
      <w:r>
        <w:rPr>
          <w:rFonts w:ascii="Times New Roman" w:hAnsi="Times New Roman"/>
          <w:b/>
          <w:color w:val="292B26"/>
          <w:sz w:val="24"/>
        </w:rPr>
        <w:t>Objetivos específicos: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organizar turmas, alunos, disciplinas, professores e avaliações;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validar notas e os dados básicos enviados pelos formulários;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apresentar o histórico e as médias de um aluno;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resumir notas por disciplina e bimestre;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exportar recortes do relatório em formatos comuns.</w:t>
      </w:r>
    </w:p>
    <w:p>
      <w:pPr>
        <w:pStyle w:val="Heading1"/>
      </w:pPr>
      <w:r>
        <w:t>3. Escopo</w:t>
      </w:r>
    </w:p>
    <w:p>
      <w:pPr>
        <w:ind w:firstLine="709"/>
      </w:pPr>
      <w:r>
        <w:rPr>
          <w:rFonts w:ascii="Times New Roman" w:hAnsi="Times New Roman"/>
          <w:color w:val="292B26"/>
          <w:sz w:val="24"/>
        </w:rPr>
        <w:t>O sistema oferece cadastro de alunos junto com turma e ano letivo, registro de avaliações e notas, consulta do histórico individual, edição e exclusão de notas, remoção de aluno, filtros de relatórios, gráfico de médias e exportação para Excel, PDF e CSV. A interface tem tema claro e escuro e adapta o layout para telas menores.</w:t>
      </w:r>
    </w:p>
    <w:p>
      <w:pPr>
        <w:ind w:firstLine="709"/>
      </w:pPr>
      <w:r>
        <w:rPr>
          <w:rFonts w:ascii="Times New Roman" w:hAnsi="Times New Roman"/>
          <w:color w:val="292B26"/>
          <w:sz w:val="24"/>
        </w:rPr>
        <w:t>O sistema não possui perfis distintos de usuário, trilha de auditoria, sincronização entre várias escolas ou política automática de cópias de segurança. É um protótipo de demonstração, não um diário escolar oficial.</w:t>
      </w:r>
    </w:p>
    <w:p>
      <w:pPr>
        <w:pStyle w:val="Heading1"/>
      </w:pPr>
      <w:r>
        <w:t>4. Requisitos funcionais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93432C"/>
          </w:tcPr>
          <w:p>
            <w:pPr>
              <w:spacing w:after="4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4702"/>
            <w:vAlign w:val="center"/>
            <w:shd w:fill="93432C"/>
          </w:tcPr>
          <w:p>
            <w:pPr>
              <w:spacing w:after="4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Requisito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40" w:line="252" w:lineRule="auto"/>
            </w:pPr>
            <w:r>
              <w:rPr>
                <w:rFonts w:ascii="Times New Roman" w:hAnsi="Times New Roman"/>
                <w:b w:val="0"/>
                <w:color w:val="292B26"/>
                <w:sz w:val="19"/>
              </w:rPr>
              <w:t>RF01</w:t>
            </w:r>
          </w:p>
        </w:tc>
        <w:tc>
          <w:tcPr>
            <w:tcW w:type="dxa" w:w="4702"/>
            <w:vAlign w:val="center"/>
          </w:tcPr>
          <w:p>
            <w:pPr>
              <w:spacing w:after="40" w:line="252" w:lineRule="auto"/>
            </w:pPr>
            <w:r>
              <w:rPr>
                <w:rFonts w:ascii="Times New Roman" w:hAnsi="Times New Roman"/>
                <w:b w:val="0"/>
                <w:color w:val="292B26"/>
                <w:sz w:val="19"/>
              </w:rPr>
              <w:t>Cadastrar um aluno associado a uma turma e ano letivo.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40" w:line="252" w:lineRule="auto"/>
            </w:pPr>
            <w:r>
              <w:rPr>
                <w:rFonts w:ascii="Times New Roman" w:hAnsi="Times New Roman"/>
                <w:b w:val="0"/>
                <w:color w:val="292B26"/>
                <w:sz w:val="19"/>
              </w:rPr>
              <w:t>RF02</w:t>
            </w:r>
          </w:p>
        </w:tc>
        <w:tc>
          <w:tcPr>
            <w:tcW w:type="dxa" w:w="4702"/>
            <w:vAlign w:val="center"/>
          </w:tcPr>
          <w:p>
            <w:pPr>
              <w:spacing w:after="40" w:line="252" w:lineRule="auto"/>
            </w:pPr>
            <w:r>
              <w:rPr>
                <w:rFonts w:ascii="Times New Roman" w:hAnsi="Times New Roman"/>
                <w:b w:val="0"/>
                <w:color w:val="292B26"/>
                <w:sz w:val="19"/>
              </w:rPr>
              <w:t>Registrar uma nota ligada a aluno, disciplina, professor, avaliação e bimestre.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40" w:line="252" w:lineRule="auto"/>
            </w:pPr>
            <w:r>
              <w:rPr>
                <w:rFonts w:ascii="Times New Roman" w:hAnsi="Times New Roman"/>
                <w:b w:val="0"/>
                <w:color w:val="292B26"/>
                <w:sz w:val="19"/>
              </w:rPr>
              <w:t>RF03</w:t>
            </w:r>
          </w:p>
        </w:tc>
        <w:tc>
          <w:tcPr>
            <w:tcW w:type="dxa" w:w="4702"/>
            <w:vAlign w:val="center"/>
          </w:tcPr>
          <w:p>
            <w:pPr>
              <w:spacing w:after="40" w:line="252" w:lineRule="auto"/>
            </w:pPr>
            <w:r>
              <w:rPr>
                <w:rFonts w:ascii="Times New Roman" w:hAnsi="Times New Roman"/>
                <w:b w:val="0"/>
                <w:color w:val="292B26"/>
                <w:sz w:val="19"/>
              </w:rPr>
              <w:t>Consultar o histórico de avaliações de um aluno.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40" w:line="252" w:lineRule="auto"/>
            </w:pPr>
            <w:r>
              <w:rPr>
                <w:rFonts w:ascii="Times New Roman" w:hAnsi="Times New Roman"/>
                <w:b w:val="0"/>
                <w:color w:val="292B26"/>
                <w:sz w:val="19"/>
              </w:rPr>
              <w:t>RF04</w:t>
            </w:r>
          </w:p>
        </w:tc>
        <w:tc>
          <w:tcPr>
            <w:tcW w:type="dxa" w:w="4702"/>
            <w:vAlign w:val="center"/>
          </w:tcPr>
          <w:p>
            <w:pPr>
              <w:spacing w:after="40" w:line="252" w:lineRule="auto"/>
            </w:pPr>
            <w:r>
              <w:rPr>
                <w:rFonts w:ascii="Times New Roman" w:hAnsi="Times New Roman"/>
                <w:b w:val="0"/>
                <w:color w:val="292B26"/>
                <w:sz w:val="19"/>
              </w:rPr>
              <w:t>Editar ou excluir uma nota cadastrada.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40" w:line="252" w:lineRule="auto"/>
            </w:pPr>
            <w:r>
              <w:rPr>
                <w:rFonts w:ascii="Times New Roman" w:hAnsi="Times New Roman"/>
                <w:b w:val="0"/>
                <w:color w:val="292B26"/>
                <w:sz w:val="19"/>
              </w:rPr>
              <w:t>RF05</w:t>
            </w:r>
          </w:p>
        </w:tc>
        <w:tc>
          <w:tcPr>
            <w:tcW w:type="dxa" w:w="4702"/>
            <w:vAlign w:val="center"/>
          </w:tcPr>
          <w:p>
            <w:pPr>
              <w:spacing w:after="40" w:line="252" w:lineRule="auto"/>
            </w:pPr>
            <w:r>
              <w:rPr>
                <w:rFonts w:ascii="Times New Roman" w:hAnsi="Times New Roman"/>
                <w:b w:val="0"/>
                <w:color w:val="292B26"/>
                <w:sz w:val="19"/>
              </w:rPr>
              <w:t>Remover um aluno e as notas relacionadas a ele.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40" w:line="252" w:lineRule="auto"/>
            </w:pPr>
            <w:r>
              <w:rPr>
                <w:rFonts w:ascii="Times New Roman" w:hAnsi="Times New Roman"/>
                <w:b w:val="0"/>
                <w:color w:val="292B26"/>
                <w:sz w:val="19"/>
              </w:rPr>
              <w:t>RF06</w:t>
            </w:r>
          </w:p>
        </w:tc>
        <w:tc>
          <w:tcPr>
            <w:tcW w:type="dxa" w:w="4702"/>
            <w:vAlign w:val="center"/>
          </w:tcPr>
          <w:p>
            <w:pPr>
              <w:spacing w:after="40" w:line="252" w:lineRule="auto"/>
            </w:pPr>
            <w:r>
              <w:rPr>
                <w:rFonts w:ascii="Times New Roman" w:hAnsi="Times New Roman"/>
                <w:b w:val="0"/>
                <w:color w:val="292B26"/>
                <w:sz w:val="19"/>
              </w:rPr>
              <w:t>Filtrar relatórios por turma e/ou aluno.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40" w:line="252" w:lineRule="auto"/>
            </w:pPr>
            <w:r>
              <w:rPr>
                <w:rFonts w:ascii="Times New Roman" w:hAnsi="Times New Roman"/>
                <w:b w:val="0"/>
                <w:color w:val="292B26"/>
                <w:sz w:val="19"/>
              </w:rPr>
              <w:t>RF07</w:t>
            </w:r>
          </w:p>
        </w:tc>
        <w:tc>
          <w:tcPr>
            <w:tcW w:type="dxa" w:w="4702"/>
            <w:vAlign w:val="center"/>
          </w:tcPr>
          <w:p>
            <w:pPr>
              <w:spacing w:after="40" w:line="252" w:lineRule="auto"/>
            </w:pPr>
            <w:r>
              <w:rPr>
                <w:rFonts w:ascii="Times New Roman" w:hAnsi="Times New Roman"/>
                <w:b w:val="0"/>
                <w:color w:val="292B26"/>
                <w:sz w:val="19"/>
              </w:rPr>
              <w:t>Exibir médias por disciplina e bimestre.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40" w:line="252" w:lineRule="auto"/>
            </w:pPr>
            <w:r>
              <w:rPr>
                <w:rFonts w:ascii="Times New Roman" w:hAnsi="Times New Roman"/>
                <w:b w:val="0"/>
                <w:color w:val="292B26"/>
                <w:sz w:val="19"/>
              </w:rPr>
              <w:t>RF08</w:t>
            </w:r>
          </w:p>
        </w:tc>
        <w:tc>
          <w:tcPr>
            <w:tcW w:type="dxa" w:w="4702"/>
            <w:vAlign w:val="center"/>
          </w:tcPr>
          <w:p>
            <w:pPr>
              <w:spacing w:after="40" w:line="252" w:lineRule="auto"/>
            </w:pPr>
            <w:r>
              <w:rPr>
                <w:rFonts w:ascii="Times New Roman" w:hAnsi="Times New Roman"/>
                <w:b w:val="0"/>
                <w:color w:val="292B26"/>
                <w:sz w:val="19"/>
              </w:rPr>
              <w:t>Exportar os dados filtrados para XLSX, PDF e CSV.</w:t>
            </w:r>
          </w:p>
        </w:tc>
      </w:tr>
    </w:tbl>
    <w:p/>
    <w:p>
      <w:pPr>
        <w:pStyle w:val="Heading1"/>
      </w:pPr>
      <w:r>
        <w:t>5. Requisitos não funcionais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**RNF01 — Usabilidade:** formulários e tabelas devem apresentar rótulos claros e mensagens de retorno.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**RNF02 — Compatibilidade:** a aplicação deve funcionar em navegadores modernos e se adaptar a celular e computador.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**RNF03 — Persistência:** o SQLite deve guardar os registros entre reinicializações no ambiente local; em nuvem, precisa de um caminho persistente.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**RNF04 — Segurança básica:** formulários POST validam token CSRF; a aplicação pode exigir login quando `APP_PASSWORD` estiver configurada.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**RNF05 — Privacidade:** o repositório não deve conter banco com dados pessoais ou notas reais.</w:t>
      </w:r>
    </w:p>
    <w:p>
      <w:pPr>
        <w:pStyle w:val="Heading1"/>
      </w:pPr>
      <w:r>
        <w:t>6. Tecnologias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**Python:** linguagem usada na lógica da aplicação.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**Flask:** rotas HTTP, sessões, mensagens e integração com os templates.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**Jinja/HTML:** renderização das páginas.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**CSS e JavaScript:** estilos responsivos, tema e interações simples.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**SQLite:** armazenamento relacional em arquivo.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**pandas:** organização e agrupamento dos registros para relatórios.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**Matplotlib:** geração do gráfico e da página gráfica do PDF.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**openpyxl:** geração e formatação de arquivos Excel.</w:t>
      </w:r>
    </w:p>
    <w:p>
      <w:pPr>
        <w:pStyle w:val="Heading1"/>
      </w:pPr>
      <w:r>
        <w:t>7. Arquitetura</w:t>
      </w:r>
    </w:p>
    <w:p>
      <w:pPr>
        <w:ind w:firstLine="709"/>
      </w:pPr>
      <w:r>
        <w:rPr>
          <w:rFonts w:ascii="Times New Roman" w:hAnsi="Times New Roman"/>
          <w:color w:val="292B26"/>
          <w:sz w:val="24"/>
        </w:rPr>
        <w:t>O navegador envia requisições para as rotas Flask em app.py. As rotas validam os dados, chamam as funções de persistência de database.py e escolhem o template Jinja que será exibido. Para relatórios, a aplicação carrega as linhas do banco em uma tabela pandas, aplica os filtros e calcula as médias. Matplotlib produz o gráfico; pandas e openpyxl montam os arquivos de exportação.</w:t>
      </w:r>
    </w:p>
    <w:p>
      <w:pPr>
        <w:spacing w:line="264" w:lineRule="auto"/>
        <w:ind w:left="283"/>
      </w:pPr>
      <w:r>
        <w:rPr>
          <w:rFonts w:ascii="Consolas" w:hAnsi="Consolas"/>
          <w:color w:val="686B64"/>
          <w:sz w:val="18"/>
        </w:rPr>
        <w:t>Navegador</w:t>
      </w:r>
      <w:r>
        <w:br/>
      </w:r>
      <w:r>
        <w:rPr>
          <w:rFonts w:ascii="Consolas" w:hAnsi="Consolas"/>
          <w:color w:val="686B64"/>
          <w:sz w:val="18"/>
        </w:rPr>
        <w:t xml:space="preserve">   │ HTTP / HTML</w:t>
      </w:r>
      <w:r>
        <w:br/>
      </w:r>
      <w:r>
        <w:rPr>
          <w:rFonts w:ascii="Consolas" w:hAnsi="Consolas"/>
          <w:color w:val="686B64"/>
          <w:sz w:val="18"/>
        </w:rPr>
        <w:t xml:space="preserve">   ▼</w:t>
      </w:r>
      <w:r>
        <w:br/>
      </w:r>
      <w:r>
        <w:rPr>
          <w:rFonts w:ascii="Consolas" w:hAnsi="Consolas"/>
          <w:color w:val="686B64"/>
          <w:sz w:val="18"/>
        </w:rPr>
        <w:t>Flask (app.py) ─────── templates/ + static/</w:t>
      </w:r>
      <w:r>
        <w:br/>
      </w:r>
      <w:r>
        <w:rPr>
          <w:rFonts w:ascii="Consolas" w:hAnsi="Consolas"/>
          <w:color w:val="686B64"/>
          <w:sz w:val="18"/>
        </w:rPr>
        <w:t xml:space="preserve">   │</w:t>
      </w:r>
      <w:r>
        <w:br/>
      </w:r>
      <w:r>
        <w:rPr>
          <w:rFonts w:ascii="Consolas" w:hAnsi="Consolas"/>
          <w:color w:val="686B64"/>
          <w:sz w:val="18"/>
        </w:rPr>
        <w:t xml:space="preserve">   ├── database.py ── SQLite (manager_school.db)</w:t>
      </w:r>
      <w:r>
        <w:br/>
      </w:r>
      <w:r>
        <w:rPr>
          <w:rFonts w:ascii="Consolas" w:hAnsi="Consolas"/>
          <w:color w:val="686B64"/>
          <w:sz w:val="18"/>
        </w:rPr>
        <w:t xml:space="preserve">   │</w:t>
      </w:r>
      <w:r>
        <w:br/>
      </w:r>
      <w:r>
        <w:rPr>
          <w:rFonts w:ascii="Consolas" w:hAnsi="Consolas"/>
          <w:color w:val="686B64"/>
          <w:sz w:val="18"/>
        </w:rPr>
        <w:t xml:space="preserve">   └── pandas ──────── resumos e filtros</w:t>
      </w:r>
      <w:r>
        <w:br/>
      </w:r>
      <w:r>
        <w:rPr>
          <w:rFonts w:ascii="Consolas" w:hAnsi="Consolas"/>
          <w:color w:val="686B64"/>
          <w:sz w:val="18"/>
        </w:rPr>
        <w:t xml:space="preserve">           ├───────── Matplotlib (gráfico/PDF)</w:t>
      </w:r>
      <w:r>
        <w:br/>
      </w:r>
      <w:r>
        <w:rPr>
          <w:rFonts w:ascii="Consolas" w:hAnsi="Consolas"/>
          <w:color w:val="686B64"/>
          <w:sz w:val="18"/>
        </w:rPr>
        <w:t xml:space="preserve">           └───────── openpyxl (Excel)</w:t>
      </w:r>
    </w:p>
    <w:p>
      <w:pPr>
        <w:pStyle w:val="Heading1"/>
      </w:pPr>
      <w:r>
        <w:t>8. Modelo de dados</w:t>
      </w:r>
    </w:p>
    <w:p>
      <w:pPr>
        <w:ind w:firstLine="709"/>
      </w:pPr>
      <w:r>
        <w:rPr>
          <w:rFonts w:ascii="Times New Roman" w:hAnsi="Times New Roman"/>
          <w:color w:val="292B26"/>
          <w:sz w:val="24"/>
        </w:rPr>
        <w:t>As tabelas principais são: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**turmas:** nome e ano letivo;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**alunos:** nome e turma à qual pertence;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**disciplinas** e **professores:** cadastros usados nas ofertas;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**ofertas:** combinação de turma, disciplina e professor;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**avaliacoes:** título, bimestre, data opcional e valor máximo de uma avaliação;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**notas:** valor obtido por um aluno em uma avaliação.</w:t>
      </w:r>
    </w:p>
    <w:p>
      <w:pPr>
        <w:ind w:firstLine="709"/>
      </w:pPr>
      <w:r>
        <w:rPr>
          <w:rFonts w:ascii="Times New Roman" w:hAnsi="Times New Roman"/>
          <w:color w:val="292B26"/>
          <w:sz w:val="24"/>
        </w:rPr>
        <w:t>Uma turma pode ter vários alunos. Uma oferta representa a disciplina de um professor para uma turma. Uma oferta pode ter várias avaliações; uma avaliação pode ter notas de vários alunos. A combinação de avaliação e aluno é única, evitando duas notas para a mesma avaliação e pessoa.</w:t>
      </w:r>
    </w:p>
    <w:p>
      <w:pPr>
        <w:ind w:firstLine="709"/>
      </w:pPr>
      <w:r>
        <w:rPr>
          <w:rFonts w:ascii="Times New Roman" w:hAnsi="Times New Roman"/>
          <w:color w:val="292B26"/>
          <w:sz w:val="24"/>
        </w:rPr>
        <w:t>O identificador do aluno é importante porque nomes podem se repetir. Os filtros comparam IDs; o nome serve para leitura da interface.</w:t>
      </w:r>
    </w:p>
    <w:p>
      <w:pPr>
        <w:pStyle w:val="Heading1"/>
      </w:pPr>
      <w:r>
        <w:t>9. Fluxo de uso</w:t>
      </w:r>
    </w:p>
    <w:p>
      <w:pPr>
        <w:ind w:firstLine="709"/>
      </w:pPr>
      <w:r>
        <w:rPr>
          <w:rFonts w:ascii="Times New Roman" w:hAnsi="Times New Roman"/>
          <w:color w:val="292B26"/>
          <w:sz w:val="24"/>
        </w:rPr>
        <w:t>1. A pessoa abre a página inicial e escolhe um aluno existente ou cadastra um novo.</w:t>
      </w:r>
    </w:p>
    <w:p>
      <w:pPr>
        <w:ind w:firstLine="709"/>
      </w:pPr>
      <w:r>
        <w:rPr>
          <w:rFonts w:ascii="Times New Roman" w:hAnsi="Times New Roman"/>
          <w:color w:val="292B26"/>
          <w:sz w:val="24"/>
        </w:rPr>
        <w:t>2. Informa disciplina, professor, avaliação, bimestre, nota e nota máxima.</w:t>
      </w:r>
    </w:p>
    <w:p>
      <w:pPr>
        <w:ind w:firstLine="709"/>
      </w:pPr>
      <w:r>
        <w:rPr>
          <w:rFonts w:ascii="Times New Roman" w:hAnsi="Times New Roman"/>
          <w:color w:val="292B26"/>
          <w:sz w:val="24"/>
        </w:rPr>
        <w:t>3. O servidor valida os valores e salva a nota no SQLite.</w:t>
      </w:r>
    </w:p>
    <w:p>
      <w:pPr>
        <w:ind w:firstLine="709"/>
      </w:pPr>
      <w:r>
        <w:rPr>
          <w:rFonts w:ascii="Times New Roman" w:hAnsi="Times New Roman"/>
          <w:color w:val="292B26"/>
          <w:sz w:val="24"/>
        </w:rPr>
        <w:t>4. A página do aluno mostra as avaliações e calcula médias por disciplina e bimestre.</w:t>
      </w:r>
    </w:p>
    <w:p>
      <w:pPr>
        <w:ind w:firstLine="709"/>
      </w:pPr>
      <w:r>
        <w:rPr>
          <w:rFonts w:ascii="Times New Roman" w:hAnsi="Times New Roman"/>
          <w:color w:val="292B26"/>
          <w:sz w:val="24"/>
        </w:rPr>
        <w:t>5. A página de relatórios filtra os registros e disponibiliza o gráfico, a tabela e os arquivos de exportação.</w:t>
      </w:r>
    </w:p>
    <w:p>
      <w:pPr>
        <w:pStyle w:val="Heading1"/>
      </w:pPr>
      <w:r>
        <w:t>10. Validações e regras</w:t>
      </w:r>
    </w:p>
    <w:p>
      <w:pPr>
        <w:ind w:firstLine="709"/>
      </w:pPr>
      <w:r>
        <w:rPr>
          <w:rFonts w:ascii="Times New Roman" w:hAnsi="Times New Roman"/>
          <w:color w:val="292B26"/>
          <w:sz w:val="24"/>
        </w:rPr>
        <w:t>O servidor exige disciplina, professor e título da avaliação; limita o bimestre aos valores de 1 a 4; exige nota máxima positiva e nota entre zero e o máximo informado. O relatório por aluno usa seu ID, e ao selecionar a pessoa a interface associa a turma cadastrada correspondente.</w:t>
      </w:r>
    </w:p>
    <w:p>
      <w:pPr>
        <w:ind w:firstLine="709"/>
      </w:pPr>
      <w:r>
        <w:rPr>
          <w:rFonts w:ascii="Times New Roman" w:hAnsi="Times New Roman"/>
          <w:color w:val="292B26"/>
          <w:sz w:val="24"/>
        </w:rPr>
        <w:t>As médias são aritméticas simples. A classificação exibida no histórico (aprovado a partir de 6, recuperação a partir de 5) é provisória e precisa ser confirmada com os critérios definidos pela escola.</w:t>
      </w:r>
    </w:p>
    <w:p>
      <w:pPr>
        <w:pStyle w:val="Heading1"/>
      </w:pPr>
      <w:r>
        <w:t>11. Segurança e privacidade</w:t>
      </w:r>
    </w:p>
    <w:p>
      <w:pPr>
        <w:ind w:firstLine="709"/>
      </w:pPr>
      <w:r>
        <w:rPr>
          <w:rFonts w:ascii="Times New Roman" w:hAnsi="Times New Roman"/>
          <w:color w:val="292B26"/>
          <w:sz w:val="24"/>
        </w:rPr>
        <w:t>O arquivo SQLite é local e está excluído do controle de versão. Para a demonstração hospedada, o render.yaml gera valores para SECRET_KEY e APP_PASSWORD; o acesso é feito com o usuário apresentacao e a senha configurada no painel do serviço. Não publique essa senha, nem preencha o banco online com dados reais de estudantes.</w:t>
      </w:r>
    </w:p>
    <w:p>
      <w:pPr>
        <w:ind w:firstLine="709"/>
      </w:pPr>
      <w:r>
        <w:rPr>
          <w:rFonts w:ascii="Times New Roman" w:hAnsi="Times New Roman"/>
          <w:color w:val="292B26"/>
          <w:sz w:val="24"/>
        </w:rPr>
        <w:t>O login é uma proteção simples para um protótipo. Antes de uso institucional seriam necessários, entre outros itens, contas individuais, permissões por perfil, auditoria, rotina de backup, revisão de segurança e adequação às regras de proteção de dados aplicáveis.</w:t>
      </w:r>
    </w:p>
    <w:p>
      <w:pPr>
        <w:pStyle w:val="Heading1"/>
      </w:pPr>
      <w:r>
        <w:t>12. Como executar localmente</w:t>
      </w:r>
    </w:p>
    <w:p>
      <w:pPr>
        <w:ind w:firstLine="709"/>
      </w:pPr>
      <w:r>
        <w:rPr>
          <w:rFonts w:ascii="Times New Roman" w:hAnsi="Times New Roman"/>
          <w:color w:val="292B26"/>
          <w:sz w:val="24"/>
        </w:rPr>
        <w:t>Com Python 3.10 ou mais recente:</w:t>
      </w:r>
    </w:p>
    <w:p>
      <w:pPr>
        <w:spacing w:line="264" w:lineRule="auto"/>
        <w:ind w:left="283"/>
      </w:pPr>
      <w:r>
        <w:rPr>
          <w:rFonts w:ascii="Consolas" w:hAnsi="Consolas"/>
          <w:color w:val="686B64"/>
          <w:sz w:val="18"/>
        </w:rPr>
        <w:t>python -m venv .venv</w:t>
      </w:r>
      <w:r>
        <w:br/>
      </w:r>
      <w:r>
        <w:rPr>
          <w:rFonts w:ascii="Consolas" w:hAnsi="Consolas"/>
          <w:color w:val="686B64"/>
          <w:sz w:val="18"/>
        </w:rPr>
        <w:t>.\.venv\Scripts\Activate.ps1</w:t>
      </w:r>
      <w:r>
        <w:br/>
      </w:r>
      <w:r>
        <w:rPr>
          <w:rFonts w:ascii="Consolas" w:hAnsi="Consolas"/>
          <w:color w:val="686B64"/>
          <w:sz w:val="18"/>
        </w:rPr>
        <w:t>python -m pip install -r requirements.txt</w:t>
      </w:r>
      <w:r>
        <w:br/>
      </w:r>
      <w:r>
        <w:rPr>
          <w:rFonts w:ascii="Consolas" w:hAnsi="Consolas"/>
          <w:color w:val="686B64"/>
          <w:sz w:val="18"/>
        </w:rPr>
        <w:t>python app.py</w:t>
      </w:r>
    </w:p>
    <w:p>
      <w:pPr>
        <w:ind w:firstLine="709"/>
      </w:pPr>
      <w:r>
        <w:rPr>
          <w:rFonts w:ascii="Times New Roman" w:hAnsi="Times New Roman"/>
          <w:color w:val="292B26"/>
          <w:sz w:val="24"/>
        </w:rPr>
        <w:t>Abra http://127.0.0.1:5000. Para configurar login local, copie .env.example para .env e substitua as credenciais de exemplo. O arquivo .env não deve ser enviado ao GitHub.</w:t>
      </w:r>
    </w:p>
    <w:p>
      <w:pPr>
        <w:pStyle w:val="Heading1"/>
      </w:pPr>
      <w:r>
        <w:t>13. Implantação</w:t>
      </w:r>
    </w:p>
    <w:p>
      <w:pPr>
        <w:ind w:firstLine="709"/>
      </w:pPr>
      <w:r>
        <w:rPr>
          <w:rFonts w:ascii="Times New Roman" w:hAnsi="Times New Roman"/>
          <w:color w:val="292B26"/>
          <w:sz w:val="24"/>
        </w:rPr>
        <w:t>A implantação preparada usa Render com disco persistente montado em /var/data; DATABASE_PATH aponta o SQLite para esse disco. O plano Render que suporta disco persistente é pago. Não usar o serviço gratuito para guardar dados SQLite importantes, pois o sistema de arquivos gratuito é temporário. Os passos e a alternativa gratuita de demonstração estão em [implantacao.md](implantacao.md).</w:t>
      </w:r>
    </w:p>
    <w:p>
      <w:pPr>
        <w:pStyle w:val="Heading1"/>
      </w:pPr>
      <w:r>
        <w:t>14. Limitações e melhorias futuras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definir com a escola os critérios oficiais de aprovação;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adicionar perfis de professor e coordenação com permissões separadas;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permitir backups e restauração do banco;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registrar quem alterou uma nota e quando;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criar testes automatizados para validações, filtros e exportações;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avaliar migração para PostgreSQL caso vários usuários precisem editar dados ao mesmo tempo;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revisar acessibilidade e compatibilidade em aparelhos reais.</w:t>
      </w:r>
    </w:p>
    <w:p>
      <w:pPr>
        <w:pStyle w:val="Heading1"/>
      </w:pPr>
      <w:r>
        <w:t>15. Conclusão</w:t>
      </w:r>
    </w:p>
    <w:p>
      <w:pPr>
        <w:ind w:firstLine="709"/>
      </w:pPr>
      <w:r>
        <w:rPr>
          <w:rFonts w:ascii="Times New Roman" w:hAnsi="Times New Roman"/>
          <w:color w:val="292B26"/>
          <w:sz w:val="24"/>
        </w:rPr>
        <w:t>O Manager School reúne em uma aplicação os registros básicos de notas e oferece formas de consultar e resumir os resultados. O desenvolvimento aplica conceitos de rotas web, persistência relacional, validação, análise de dados e geração de arquivos. Como próximo passo, o projeto precisa ser comparado aos critérios oficiais do TCC e apresentado com uma base de demonstração inteiramente fictícia.</w:t>
      </w:r>
    </w:p>
    <w:p>
      <w:pPr>
        <w:pStyle w:val="Heading1"/>
      </w:pPr>
      <w:r>
        <w:t>Referências técnicas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PALLETS PROJECT. **Flask Documentation**. Disponível em: &lt;https://flask.palletsprojects.com/&gt;. Acesso em: 3 out. 2026.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SQLITE. **SQLite Documentation**. Disponível em: &lt;https://www.sqlite.org/docs.html&gt;. Acesso em: 3 out. 2026.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PANDAS. **pandas Documentation**. Disponível em: &lt;https://pandas.pydata.org/docs/&gt;. Acesso em: 3 out. 2026.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MATPLOTLIB. **Matplotlib Documentation**. Disponível em: &lt;https://matplotlib.org/stable/&gt;. Acesso em: 3 out. 2026.</w:t>
      </w:r>
    </w:p>
    <w:p>
      <w:pPr>
        <w:pStyle w:val="ListBullet"/>
        <w:spacing w:line="276" w:lineRule="auto" w:after="60"/>
      </w:pPr>
      <w:r>
        <w:rPr>
          <w:rFonts w:ascii="Times New Roman" w:hAnsi="Times New Roman"/>
          <w:color w:val="292B26"/>
          <w:sz w:val="22"/>
        </w:rPr>
        <w:t>OPENPYXL. **openpyxl Documentation**. Disponível em: &lt;https://openpyxl.readthedocs.io/&gt;. Acesso em: 3 out. 2026.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color w:val="292B26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93432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93432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Manager School — documentação do projeto</dc:title>
  <dc:subject>Documento de apoio para o TCC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