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7" w:name="content"/>
    <w:bookmarkStart w:id="46" w:name="Xe00921dce366bf4359858cd708feebf4230c9c6"/>
    <w:p>
      <w:pPr>
        <w:pStyle w:val="Heading1"/>
      </w:pPr>
      <w:r>
        <w:t xml:space="preserve">Победный проект для Kazakhstan Startup Challenge</w:t>
      </w:r>
    </w:p>
    <w:bookmarkStart w:id="25" w:name="рамки-конкурса-и-что-точно-важно-учесть"/>
    <w:p>
      <w:pPr>
        <w:pStyle w:val="Heading2"/>
      </w:pPr>
      <w:r>
        <w:t xml:space="preserve">Рамки конкурса и что точно важно учесть</w:t>
      </w:r>
    </w:p>
    <w:p>
      <w:pPr>
        <w:pStyle w:val="FirstParagraph"/>
      </w:pPr>
      <w:r>
        <w:t xml:space="preserve">Kazakhstan Startup Challenge — конкурс для начинающих разработчиков, IT‑команд и стартапов, которые делают технологические решения для нефтегаза/промышленности, с главным призом 1 000 000 ₸.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Организатор — PetroCouncil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(Нефтегазовый совет Казахстана).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Технический партнёр — AYACOM</w:t>
      </w:r>
      <w:hyperlink r:id="rId22">
        <w:r>
          <w:rPr>
            <w:rStyle w:val="Hyperlink"/>
          </w:rPr>
          <w:t xml:space="preserve">[3]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Финальный питчинг проходит на форуме PetroDigital</w:t>
      </w:r>
      <w:hyperlink r:id="rId23">
        <w:r>
          <w:rPr>
            <w:rStyle w:val="Hyperlink"/>
          </w:rPr>
          <w:t xml:space="preserve">[4]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Ключевые формальные ограничения, которые нельзя “проспать”:</w:t>
      </w:r>
      <w:r>
        <w:t xml:space="preserve"> </w:t>
      </w:r>
      <w:r>
        <w:t xml:space="preserve">1) Дедлайн подачи заявки: 03.04.2026.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2) Финал: 09.04.2026.</w:t>
      </w:r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br/>
      </w:r>
      <w:r>
        <w:t xml:space="preserve">3) Команда: 1–5 человек; возраст: от 18 лет.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4) Город финала: Атырау</w:t>
      </w:r>
      <w:hyperlink r:id="rId21">
        <w:r>
          <w:rPr>
            <w:rStyle w:val="Hyperlink"/>
          </w:rPr>
          <w:t xml:space="preserve">[6]</w:t>
        </w:r>
      </w:hyperlink>
      <w:r>
        <w:t xml:space="preserve">; площадка форума — Infinity Event Hall</w:t>
      </w:r>
      <w:hyperlink r:id="rId23">
        <w:r>
          <w:rPr>
            <w:rStyle w:val="Hyperlink"/>
          </w:rPr>
          <w:t xml:space="preserve">[7]</w:t>
        </w:r>
      </w:hyperlink>
      <w:r>
        <w:t xml:space="preserve">.</w:t>
      </w:r>
      <w:r>
        <w:t xml:space="preserve"> </w:t>
      </w:r>
      <w:hyperlink r:id="rId24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Тематики, в которые жюри прямо “приглашает” проекты (это фактически ваша навигация, чтобы не промахнуться):</w:t>
      </w:r>
      <w:r>
        <w:t xml:space="preserve"> </w:t>
      </w:r>
      <w:r>
        <w:t xml:space="preserve">1) AI и аналитика данных.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2) Цифровые решения для производства.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3) Безопасность на производстве.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4) Автоматизация процессов.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5) Экологические и энергоэффективные решения.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Важно: на странице конкурса не опубликованы детальные критерии судейства (вес “инновационность/экономика/готовность/масштабируемость” не расписан). Поэтому стратегию “как выиграть” приходится строить из (а) опыта прошлого года и (б) типовой логики отраслевых питч‑конкурсов.</w:t>
      </w:r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</w:p>
    <w:bookmarkEnd w:id="25"/>
    <w:bookmarkStart w:id="35" w:name="X2cf1916f357bb7e512386e4b9258d3d2ff1010d"/>
    <w:p>
      <w:pPr>
        <w:pStyle w:val="Heading2"/>
      </w:pPr>
      <w:r>
        <w:t xml:space="preserve">Какие задачи сейчас самые «денежные» в нефтегазе Казахстана</w:t>
      </w:r>
    </w:p>
    <w:p>
      <w:pPr>
        <w:pStyle w:val="FirstParagraph"/>
      </w:pPr>
      <w:r>
        <w:t xml:space="preserve">Если вы хотите максимизировать шанс на 1 место, выбирайте задачу, которая одновременно:</w:t>
      </w:r>
      <w:r>
        <w:t xml:space="preserve"> </w:t>
      </w:r>
      <w:r>
        <w:t xml:space="preserve">1) соответствует гос‑ и корпоративной повестке (её “узнают” топ‑менеджеры и регуляторы),</w:t>
      </w:r>
      <w:r>
        <w:t xml:space="preserve"> </w:t>
      </w:r>
      <w:r>
        <w:t xml:space="preserve">2) имеет понятный денежный эффект (штрафы/капзатраты/энергия/потери сырья),</w:t>
      </w:r>
      <w:r>
        <w:t xml:space="preserve"> </w:t>
      </w:r>
      <w:r>
        <w:t xml:space="preserve">3) реально демонстрируется за 7–10 дней (MVP + понятное демо),</w:t>
      </w:r>
      <w:r>
        <w:t xml:space="preserve"> </w:t>
      </w:r>
      <w:r>
        <w:t xml:space="preserve">4) не требует доступа к закрытым данным операторов на этапе конкурса.</w:t>
      </w:r>
    </w:p>
    <w:p>
      <w:pPr>
        <w:pStyle w:val="BodyText"/>
      </w:pPr>
      <w:r>
        <w:t xml:space="preserve">В 2026 году самый сильный “ветер в спину” в Казахстане — декарбонизация, метан и контроль выбросов:</w:t>
      </w:r>
      <w:r>
        <w:t xml:space="preserve"> </w:t>
      </w:r>
      <w:r>
        <w:t xml:space="preserve">- Стратегия углеродной нейтральности до 2060 года официально размещена в реестре UNFCCC</w:t>
      </w:r>
      <w:hyperlink r:id="rId2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как долгосрочная низкоуглеродная стратегия Казахстана.</w:t>
      </w:r>
      <w:r>
        <w:t xml:space="preserve"> </w:t>
      </w:r>
      <w:hyperlink r:id="rId26">
        <w:r>
          <w:rPr>
            <w:rStyle w:val="Hyperlink"/>
          </w:rPr>
          <w:t xml:space="preserve">[11]</w:t>
        </w:r>
      </w:hyperlink>
      <w:r>
        <w:br/>
      </w:r>
      <w:r>
        <w:t xml:space="preserve">- Казахстан подал обновлённый NDC (NDC 3.0) в UNFCCC, где повышает цели по снижению выбросов к 2035 году.</w:t>
      </w:r>
      <w:r>
        <w:t xml:space="preserve"> </w:t>
      </w:r>
      <w:hyperlink r:id="rId27">
        <w:r>
          <w:rPr>
            <w:rStyle w:val="Hyperlink"/>
          </w:rPr>
          <w:t xml:space="preserve">[12]</w:t>
        </w:r>
      </w:hyperlink>
      <w:r>
        <w:br/>
      </w:r>
      <w:r>
        <w:t xml:space="preserve">- Казахстан присоединился к Global Methane Pledge</w:t>
      </w:r>
      <w:hyperlink r:id="rId23">
        <w:r>
          <w:rPr>
            <w:rStyle w:val="Hyperlink"/>
          </w:rPr>
          <w:t xml:space="preserve">[13]</w:t>
        </w:r>
      </w:hyperlink>
      <w:r>
        <w:t xml:space="preserve">, а в совместном заявлении подчёркивается фокус на ускорении проектов и политик по сокращению метана, особенно в секторе ископаемой энергетики.</w:t>
      </w:r>
      <w:r>
        <w:t xml:space="preserve"> </w:t>
      </w:r>
      <w:hyperlink r:id="rId22">
        <w:r>
          <w:rPr>
            <w:rStyle w:val="Hyperlink"/>
          </w:rPr>
          <w:t xml:space="preserve">[14]</w:t>
        </w:r>
      </w:hyperlink>
      <w:r>
        <w:br/>
      </w:r>
      <w:r>
        <w:t xml:space="preserve">- Отдельно: Казахстан (и национальная компания KazMunayGas</w:t>
      </w:r>
      <w:hyperlink r:id="rId28">
        <w:r>
          <w:rPr>
            <w:rStyle w:val="Hyperlink"/>
          </w:rPr>
          <w:t xml:space="preserve">[15]</w:t>
        </w:r>
      </w:hyperlink>
      <w:r>
        <w:t xml:space="preserve">) поддержали инициативу Всемирного банка “Zero Routine Flaring by 2030”; также страна участвует в Global Methane Initiative.</w:t>
      </w:r>
      <w:r>
        <w:t xml:space="preserve"> </w:t>
      </w:r>
      <w:hyperlink r:id="rId29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t xml:space="preserve">Почему это “денежно” именно для нефтегаза:</w:t>
      </w:r>
      <w:r>
        <w:t xml:space="preserve"> </w:t>
      </w:r>
      <w:r>
        <w:t xml:space="preserve">- По оценке International Energy Agency</w:t>
      </w:r>
      <w:hyperlink r:id="rId30">
        <w:r>
          <w:rPr>
            <w:rStyle w:val="Hyperlink"/>
          </w:rPr>
          <w:t xml:space="preserve">[17]</w:t>
        </w:r>
      </w:hyperlink>
      <w:r>
        <w:t xml:space="preserve">, значительную часть выбросов метана в нефтегазе можно сократить существующими технологиями, в том числе “без чистых затрат” (экономика может сходиться за счёт ценности улавливаемого газа).</w:t>
      </w:r>
      <w:r>
        <w:t xml:space="preserve"> </w:t>
      </w:r>
      <w:hyperlink r:id="rId31">
        <w:r>
          <w:rPr>
            <w:rStyle w:val="Hyperlink"/>
          </w:rPr>
          <w:t xml:space="preserve">[18]</w:t>
        </w:r>
      </w:hyperlink>
      <w:r>
        <w:br/>
      </w:r>
      <w:r>
        <w:t xml:space="preserve">- По данным World Bank</w:t>
      </w:r>
      <w:hyperlink r:id="rId21">
        <w:r>
          <w:rPr>
            <w:rStyle w:val="Hyperlink"/>
          </w:rPr>
          <w:t xml:space="preserve">[19]</w:t>
        </w:r>
      </w:hyperlink>
      <w:r>
        <w:t xml:space="preserve">, глобальное факельное сжигание (flares) снова выросло и остаётся огромным источником потерь энергии и выбросов; в отчётах подчёркивается масштаб проблемы и стоимость “сожжённой впустую” энергии.</w:t>
      </w:r>
      <w:r>
        <w:t xml:space="preserve"> </w:t>
      </w:r>
      <w:hyperlink r:id="rId30">
        <w:r>
          <w:rPr>
            <w:rStyle w:val="Hyperlink"/>
          </w:rPr>
          <w:t xml:space="preserve">[20]</w:t>
        </w:r>
      </w:hyperlink>
      <w:r>
        <w:br/>
      </w:r>
      <w:r>
        <w:t xml:space="preserve">- В Казахстане политика по факельному сжиганию/разрешениям/измерению и отчётности описана как достаточно строгая (запрет факельного сжигания с исключениями, разрешительный режим, требования к измерению и отчётности), а также фиксируется существенное снижение показателей факельного сжигания за 2012–2022 годы.</w:t>
      </w:r>
      <w:r>
        <w:t xml:space="preserve"> </w:t>
      </w:r>
      <w:hyperlink r:id="rId29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t xml:space="preserve">Технически важная деталь для продукта: метан и факельное сжигание уже хорошо “видны” из космоса, и это можно использовать без доступа к внутренним данным операторов:</w:t>
      </w:r>
      <w:r>
        <w:t xml:space="preserve"> </w:t>
      </w:r>
      <w:r>
        <w:t xml:space="preserve">- Для факельного сжигания существует продукт VIIRS Nightfire: он использует ночные ИК‑каналы VIIRS для детектирования источников горения и оценки параметров (температура/излучение/размер источника).</w:t>
      </w:r>
      <w:r>
        <w:t xml:space="preserve"> </w:t>
      </w:r>
      <w:hyperlink r:id="rId32">
        <w:r>
          <w:rPr>
            <w:rStyle w:val="Hyperlink"/>
          </w:rPr>
          <w:t xml:space="preserve">[21]</w:t>
        </w:r>
      </w:hyperlink>
      <w:r>
        <w:br/>
      </w:r>
      <w:r>
        <w:t xml:space="preserve">- Для метана широко применяются данные Sentinel‑5P/TROPOMI: продукт по CH₄ рассчитан на получение колонок метана с хорошим покрытием и пригоден для обратного моделирования источников/стоков.</w:t>
      </w:r>
      <w:r>
        <w:t xml:space="preserve"> </w:t>
      </w:r>
      <w:hyperlink r:id="rId33">
        <w:r>
          <w:rPr>
            <w:rStyle w:val="Hyperlink"/>
          </w:rPr>
          <w:t xml:space="preserve">[22]</w:t>
        </w:r>
      </w:hyperlink>
      <w:r>
        <w:br/>
      </w:r>
      <w:r>
        <w:t xml:space="preserve">- Ограничение, которое важно честно проговорить в питче: у Sentinel‑5P пространственное разрешение относительно грубое (порядка нескольких километров), поэтому он лучше для “аномалий/горячих зон”, чем для точного “указания на конкретный вентиль”; многие практические подходы комбинируют Sentinel‑5P (поиск аномалий) и более детальные данные для локализации.</w:t>
      </w:r>
      <w:r>
        <w:t xml:space="preserve"> </w:t>
      </w:r>
      <w:hyperlink r:id="rId34">
        <w:r>
          <w:rPr>
            <w:rStyle w:val="Hyperlink"/>
          </w:rPr>
          <w:t xml:space="preserve">[23]</w:t>
        </w:r>
      </w:hyperlink>
    </w:p>
    <w:bookmarkEnd w:id="35"/>
    <w:bookmarkStart w:id="36" w:name="чему-учит-опыт-прошлых-лет-и-логика-жюри"/>
    <w:p>
      <w:pPr>
        <w:pStyle w:val="Heading2"/>
      </w:pPr>
      <w:r>
        <w:t xml:space="preserve">Чему учит опыт прошлых лет и логика жюри</w:t>
      </w:r>
    </w:p>
    <w:p>
      <w:pPr>
        <w:pStyle w:val="FirstParagraph"/>
      </w:pPr>
      <w:r>
        <w:t xml:space="preserve">Самый полезный сигнал: победителем прошлогоднего конкурса стал ESG‑ориентированный продукт, который автоматизирует сбор/структурирование ESG‑данных и подготовку отчётности; в описании отдельно подчёркнуты климатические вызовы, ужесточение регулирования и ожидания инвесторов.</w:t>
      </w:r>
      <w:r>
        <w:t xml:space="preserve"> </w:t>
      </w:r>
      <w:hyperlink r:id="rId23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t xml:space="preserve">Факты, которые можно использовать как “выводы о вкусе жюри” (это не гарантия, но сильная опора):</w:t>
      </w:r>
      <w:r>
        <w:t xml:space="preserve"> </w:t>
      </w:r>
      <w:r>
        <w:t xml:space="preserve">1) Победный проект прошлого года был не “идеей на салфетке”, а результатом длительной разработки (в посте прямо сказано: больше года работы).</w:t>
      </w:r>
      <w:r>
        <w:t xml:space="preserve"> </w:t>
      </w:r>
      <w:hyperlink r:id="rId23">
        <w:r>
          <w:rPr>
            <w:rStyle w:val="Hyperlink"/>
          </w:rPr>
          <w:t xml:space="preserve">[24]</w:t>
        </w:r>
      </w:hyperlink>
      <w:r>
        <w:br/>
      </w:r>
      <w:r>
        <w:t xml:space="preserve">2) Тематика ESG/устойчивости оказалась достаточно убедительной для профессионального жюри.</w:t>
      </w:r>
      <w:r>
        <w:t xml:space="preserve"> </w:t>
      </w:r>
      <w:hyperlink r:id="rId23">
        <w:r>
          <w:rPr>
            <w:rStyle w:val="Hyperlink"/>
          </w:rPr>
          <w:t xml:space="preserve">[24]</w:t>
        </w:r>
      </w:hyperlink>
      <w:r>
        <w:br/>
      </w:r>
      <w:r>
        <w:t xml:space="preserve">3) Конкурс явно ориентирован на внедрение: победители презентовали на технологической сцене форума, где присутствуют лидеры IT/автоматизации/цифровой трансформации отрасли.</w:t>
      </w:r>
      <w:r>
        <w:t xml:space="preserve"> </w:t>
      </w:r>
      <w:hyperlink r:id="rId23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t xml:space="preserve">Следовательно, чтобы “забрать 1 место”, вам нужно показать не просто модель/чат‑бота, а продуктовую связку:</w:t>
      </w:r>
      <w:r>
        <w:t xml:space="preserve"> </w:t>
      </w:r>
      <w:r>
        <w:t xml:space="preserve">1) реальная боль в нефтегазе,</w:t>
      </w:r>
      <w:r>
        <w:br/>
      </w:r>
      <w:r>
        <w:t xml:space="preserve">2) измеримый эффект (KPI в деньгах/рисках),</w:t>
      </w:r>
      <w:r>
        <w:br/>
      </w:r>
      <w:r>
        <w:t xml:space="preserve">3) демонстрируемый MVP,</w:t>
      </w:r>
      <w:r>
        <w:br/>
      </w:r>
      <w:r>
        <w:t xml:space="preserve">4) план пилота (что нужно от оператора, сколько времени, какие данные),</w:t>
      </w:r>
      <w:r>
        <w:br/>
      </w:r>
      <w:r>
        <w:t xml:space="preserve">5) дорожная карта масштабирования.</w:t>
      </w:r>
    </w:p>
    <w:bookmarkEnd w:id="36"/>
    <w:bookmarkStart w:id="39" w:name="X223fb867957b91f87baf5b0b9274d8c47197ece"/>
    <w:p>
      <w:pPr>
        <w:pStyle w:val="Heading2"/>
      </w:pPr>
      <w:r>
        <w:t xml:space="preserve">Пять проектных концепций с оценкой шансов</w:t>
      </w:r>
    </w:p>
    <w:p>
      <w:pPr>
        <w:pStyle w:val="FirstParagraph"/>
      </w:pPr>
      <w:r>
        <w:t xml:space="preserve">Ниже — 5 концепций, которые вписываются в направления конкурса и реально могут быть собраны в MVP‑формате за ~7–10 дней. Оценка по 10‑балльной шкале: “шанс выиграть при хорошей подаче” / “реалистичность MVP к дедлайну” / “сила отраслевой боли”.</w:t>
      </w:r>
    </w:p>
    <w:p>
      <w:pPr>
        <w:pStyle w:val="BodyText"/>
      </w:pPr>
      <w:r>
        <w:t xml:space="preserve">1) Метан и факельное сжигание: мониторинг и отчётность “под регуляторику”</w:t>
      </w:r>
      <w:r>
        <w:br/>
      </w:r>
      <w:r>
        <w:t xml:space="preserve">Оценка: 9 / 7 / 9</w:t>
      </w:r>
      <w:r>
        <w:br/>
      </w:r>
      <w:r>
        <w:t xml:space="preserve">Почему сильно: идеально попадает в “экологические и энергоэффективные решения” + AI/аналитика; совпадает с национальной повесткой (Global Methane Pledge, национальные планы, флеринг‑регулирование).</w:t>
      </w:r>
      <w:r>
        <w:t xml:space="preserve"> </w:t>
      </w:r>
      <w:hyperlink r:id="rId22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t xml:space="preserve">2) HSE‑копилот для Permit‑to‑Work / JSA (безопасность работ)</w:t>
      </w:r>
      <w:r>
        <w:br/>
      </w:r>
      <w:r>
        <w:t xml:space="preserve">Оценка: 7 / 9 / 8</w:t>
      </w:r>
      <w:r>
        <w:br/>
      </w:r>
      <w:r>
        <w:t xml:space="preserve">Суть: бот/веб‑форма, которая помогает готовить JSA и PTW, чек‑листы “Start Work”, фиксирует изменения условий, ведёт аудит‑трейл. Это “стреляющая” тема, потому что PTW/JSA — базовая практика контроля опасных работ в нефтегазе и химии.</w:t>
      </w:r>
      <w:r>
        <w:t xml:space="preserve"> </w:t>
      </w:r>
      <w:hyperlink r:id="rId37">
        <w:r>
          <w:rPr>
            <w:rStyle w:val="Hyperlink"/>
          </w:rPr>
          <w:t xml:space="preserve">[27]</w:t>
        </w:r>
      </w:hyperlink>
      <w:r>
        <w:br/>
      </w:r>
      <w:r>
        <w:t xml:space="preserve">Риск: жюри может воспринять как “ещё один чат‑бот”, если не показать workflow, контроль версий, интеграцию в процессы и реальную экономику.</w:t>
      </w:r>
    </w:p>
    <w:p>
      <w:pPr>
        <w:pStyle w:val="BodyText"/>
      </w:pPr>
      <w:r>
        <w:t xml:space="preserve">3) “Умный” инспектор утечек/коррозии по фото и чек‑листам (CV + мобильное приложение)</w:t>
      </w:r>
      <w:r>
        <w:br/>
      </w:r>
      <w:r>
        <w:t xml:space="preserve">Оценка: 7 / 6 / 8</w:t>
      </w:r>
      <w:r>
        <w:br/>
      </w:r>
      <w:r>
        <w:t xml:space="preserve">Сильная сторона: наглядное демо (камера → подсказка → отчёт).</w:t>
      </w:r>
      <w:r>
        <w:br/>
      </w:r>
      <w:r>
        <w:t xml:space="preserve">Риск: качество CV без полевых данных; нужно очень грамотно ограничить задачу на MVP.</w:t>
      </w:r>
    </w:p>
    <w:p>
      <w:pPr>
        <w:pStyle w:val="BodyText"/>
      </w:pPr>
      <w:r>
        <w:t xml:space="preserve">4) Автоматизация документооборота для подрядчиков (закупки/местное содержание/комплаенс)</w:t>
      </w:r>
      <w:r>
        <w:br/>
      </w:r>
      <w:r>
        <w:t xml:space="preserve">Оценка: 6 / 9 / 7</w:t>
      </w:r>
      <w:r>
        <w:br/>
      </w:r>
      <w:r>
        <w:t xml:space="preserve">Почему это может зайти: PetroCouncil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активно работает с тематикой местного содержания и взаимодействия рынка (это видно по их собственным материалам/событиям).</w:t>
      </w:r>
      <w:r>
        <w:t xml:space="preserve"> </w:t>
      </w:r>
      <w:hyperlink r:id="rId38">
        <w:r>
          <w:rPr>
            <w:rStyle w:val="Hyperlink"/>
          </w:rPr>
          <w:t xml:space="preserve">[28]</w:t>
        </w:r>
      </w:hyperlink>
      <w:r>
        <w:br/>
      </w:r>
      <w:r>
        <w:t xml:space="preserve">Риск: может быть “слишком офисным” для части аудитории по сравнению с производством/HSE/ESG.</w:t>
      </w:r>
    </w:p>
    <w:p>
      <w:pPr>
        <w:pStyle w:val="BodyText"/>
      </w:pPr>
      <w:r>
        <w:t xml:space="preserve">5) Энергоэффективность оборудования: “быстрые победы” на компрессорах/насосах (аналитика)</w:t>
      </w:r>
      <w:r>
        <w:br/>
      </w:r>
      <w:r>
        <w:t xml:space="preserve">Оценка: 6 / 5 / 8</w:t>
      </w:r>
      <w:r>
        <w:br/>
      </w:r>
      <w:r>
        <w:t xml:space="preserve">Плюс: в нефтегазе энергоэффективность всегда деньги.</w:t>
      </w:r>
      <w:r>
        <w:br/>
      </w:r>
      <w:r>
        <w:t xml:space="preserve">Минус: без реальных телеметрических данных трудно показать убедительную точность; придётся делать синтетическую демонстрацию, что снижает доверие.</w:t>
      </w:r>
    </w:p>
    <w:p>
      <w:pPr>
        <w:pStyle w:val="BodyText"/>
      </w:pPr>
      <w:r>
        <w:t xml:space="preserve">Вывод из оценки: самая сильная ставка — проект про метан/факелы, потому что (а) это совпадает с текущей политикой и рыночным давлением, (б) можно строить MVP на открытых данных, (в) прошлогодний победитель уже “доказал”, что ESG‑автоматизация нравится жюри.</w:t>
      </w:r>
      <w:r>
        <w:t xml:space="preserve"> </w:t>
      </w:r>
      <w:hyperlink r:id="rId23">
        <w:r>
          <w:rPr>
            <w:rStyle w:val="Hyperlink"/>
          </w:rPr>
          <w:t xml:space="preserve">[29]</w:t>
        </w:r>
      </w:hyperlink>
    </w:p>
    <w:bookmarkEnd w:id="39"/>
    <w:bookmarkStart w:id="44" w:name="Xbb737e9b5ae15cbd59b54efd4a487c136c5fd95"/>
    <w:p>
      <w:pPr>
        <w:pStyle w:val="Heading2"/>
      </w:pPr>
      <w:r>
        <w:t xml:space="preserve">Рекомендуемый проект: контроль метана и факельного сжигания</w:t>
      </w:r>
    </w:p>
    <w:p>
      <w:pPr>
        <w:pStyle w:val="FirstParagraph"/>
      </w:pPr>
      <w:r>
        <w:t xml:space="preserve">Ниже — концепция, которую я бы выбрал, если цель именно “максимизировать шанс” и при этом вы стартуете с нуля.</w:t>
      </w:r>
    </w:p>
    <w:p>
      <w:pPr>
        <w:pStyle w:val="BodyText"/>
      </w:pPr>
      <w:r>
        <w:t xml:space="preserve">Название (рабочее):</w:t>
      </w:r>
      <w:r>
        <w:t xml:space="preserve"> </w:t>
      </w:r>
      <w:r>
        <w:rPr>
          <w:b/>
          <w:bCs/>
        </w:rPr>
        <w:t xml:space="preserve">Methane &amp; Flare Control Copilot</w:t>
      </w:r>
      <w:r>
        <w:br/>
      </w:r>
      <w:r>
        <w:t xml:space="preserve">Короткий питч (1 фраза): “Мы превращаем спутниковые данные и регуляторные требования в понятные тревоги, задачи на устранение и готовую отчётность для оператора/регулятора — за часы, а не недели.”</w:t>
      </w:r>
    </w:p>
    <w:p>
      <w:pPr>
        <w:pStyle w:val="BodyText"/>
      </w:pPr>
      <w:r>
        <w:t xml:space="preserve">Что именно вы делаете (продуктово, а не “про AI”):</w:t>
      </w:r>
      <w:r>
        <w:t xml:space="preserve"> </w:t>
      </w:r>
      <w:r>
        <w:t xml:space="preserve">1) “Радар” по метану: карта аномалий и статистика по выбранной территории/активу на базе Sentinel‑5P/TROPOMI (ежедневное глобальное покрытие, пригодно для выявления зон устойчивого повышения).</w:t>
      </w:r>
      <w:r>
        <w:t xml:space="preserve"> </w:t>
      </w:r>
      <w:hyperlink r:id="rId33">
        <w:r>
          <w:rPr>
            <w:rStyle w:val="Hyperlink"/>
          </w:rPr>
          <w:t xml:space="preserve">[30]</w:t>
        </w:r>
      </w:hyperlink>
      <w:r>
        <w:br/>
      </w:r>
      <w:r>
        <w:t xml:space="preserve">2) “Радар” по факельному сжиганию: слой с детекциями факелов (ночные наблюдения VIIRS Nightfire) + динамика по времени.</w:t>
      </w:r>
      <w:r>
        <w:t xml:space="preserve"> </w:t>
      </w:r>
      <w:hyperlink r:id="rId32">
        <w:r>
          <w:rPr>
            <w:rStyle w:val="Hyperlink"/>
          </w:rPr>
          <w:t xml:space="preserve">[21]</w:t>
        </w:r>
      </w:hyperlink>
      <w:r>
        <w:br/>
      </w:r>
      <w:r>
        <w:t xml:space="preserve">3) Перевод в воздействие: автоматический пересчёт в CO₂‑эквивалент по актуальным коэффициентам GWP (AR6), чтобы бизнес видел “сколько CO₂e” и мог включать это в ESG‑контуры.</w:t>
      </w:r>
      <w:r>
        <w:t xml:space="preserve"> </w:t>
      </w:r>
      <w:hyperlink r:id="rId40">
        <w:r>
          <w:rPr>
            <w:rStyle w:val="Hyperlink"/>
          </w:rPr>
          <w:t xml:space="preserve">[31]</w:t>
        </w:r>
      </w:hyperlink>
      <w:r>
        <w:br/>
      </w:r>
      <w:r>
        <w:t xml:space="preserve">4) Управление действиями (самое важное для жюри): если есть событие → создаётся “инцидент‑карточка” → чек‑лист на проверку (LDAR/обход/проверка компрессора/факельной линии/ёмкостей) → статус “проверено/устранено/ложное срабатывание” → отчёт. (Логику LDAR как ключевого низкозатратного рычага регулярно подчёркивают аналитики по метану.)</w:t>
      </w:r>
      <w:r>
        <w:t xml:space="preserve"> </w:t>
      </w:r>
      <w:hyperlink r:id="rId31">
        <w:r>
          <w:rPr>
            <w:rStyle w:val="Hyperlink"/>
          </w:rPr>
          <w:t xml:space="preserve">[32]</w:t>
        </w:r>
      </w:hyperlink>
    </w:p>
    <w:p>
      <w:pPr>
        <w:pStyle w:val="BodyText"/>
      </w:pPr>
      <w:r>
        <w:t xml:space="preserve">Почему это “очень в тему Казахстана”, а не абстрактно:</w:t>
      </w:r>
      <w:r>
        <w:t xml:space="preserve"> </w:t>
      </w:r>
      <w:r>
        <w:t xml:space="preserve">1) Казахстан присоединился к Global Methane Pledge и публично обозначал ускорение снижения метана в энергетике.</w:t>
      </w:r>
      <w:r>
        <w:t xml:space="preserve"> </w:t>
      </w:r>
      <w:hyperlink r:id="rId22">
        <w:r>
          <w:rPr>
            <w:rStyle w:val="Hyperlink"/>
          </w:rPr>
          <w:t xml:space="preserve">[14]</w:t>
        </w:r>
      </w:hyperlink>
      <w:r>
        <w:br/>
      </w:r>
      <w:r>
        <w:t xml:space="preserve">2) В Казахстане существует регуляторная рамка по факельному сжиганию (запрет с исключениями, разрешения, требования измерения/отчётности); это создаёт спрос на контроль и доказуемость (MRV).</w:t>
      </w:r>
      <w:r>
        <w:t xml:space="preserve"> </w:t>
      </w:r>
      <w:hyperlink r:id="rId29">
        <w:r>
          <w:rPr>
            <w:rStyle w:val="Hyperlink"/>
          </w:rPr>
          <w:t xml:space="preserve">[16]</w:t>
        </w:r>
      </w:hyperlink>
      <w:r>
        <w:br/>
      </w:r>
      <w:r>
        <w:t xml:space="preserve">3) В публичных сообщениях о сотрудничествах по метану для Казахстана прямо упоминаются спутниковые технологии как инструмент обнаружения и мониторинга крупных источников.</w:t>
      </w:r>
      <w:r>
        <w:t xml:space="preserve"> </w:t>
      </w:r>
      <w:hyperlink r:id="rId41">
        <w:r>
          <w:rPr>
            <w:rStyle w:val="Hyperlink"/>
          </w:rPr>
          <w:t xml:space="preserve">[33]</w:t>
        </w:r>
      </w:hyperlink>
    </w:p>
    <w:p>
      <w:pPr>
        <w:pStyle w:val="BodyText"/>
      </w:pPr>
      <w:r>
        <w:t xml:space="preserve">Почему это может выиграть именно на конкурсе:</w:t>
      </w:r>
      <w:r>
        <w:t xml:space="preserve"> </w:t>
      </w:r>
      <w:r>
        <w:t xml:space="preserve">1) Это “ESG‑класс”, который уже побеждал, но вы делаете следующий шаг: не просто отчёт, а мониторинг + управленческий контур действий.</w:t>
      </w:r>
      <w:r>
        <w:t xml:space="preserve"> </w:t>
      </w:r>
      <w:hyperlink r:id="rId23">
        <w:r>
          <w:rPr>
            <w:rStyle w:val="Hyperlink"/>
          </w:rPr>
          <w:t xml:space="preserve">[34]</w:t>
        </w:r>
      </w:hyperlink>
      <w:r>
        <w:br/>
      </w:r>
      <w:r>
        <w:t xml:space="preserve">2) Вы можете показать живое демо без доступа к данным компаний (open спутниковые продукты + готовая веб‑карта + экспорт отчёта).</w:t>
      </w:r>
      <w:r>
        <w:t xml:space="preserve"> </w:t>
      </w:r>
      <w:hyperlink r:id="rId42">
        <w:r>
          <w:rPr>
            <w:rStyle w:val="Hyperlink"/>
          </w:rPr>
          <w:t xml:space="preserve">[35]</w:t>
        </w:r>
      </w:hyperlink>
      <w:r>
        <w:br/>
      </w:r>
      <w:r>
        <w:t xml:space="preserve">3) У продукта понятные клиенты: операторы, Midstream, регуляторы/акиматы в части экологии, ESG‑аудиторы, инвесторы (через требования к отчётности).</w:t>
      </w:r>
      <w:r>
        <w:t xml:space="preserve"> </w:t>
      </w:r>
      <w:hyperlink r:id="rId23">
        <w:r>
          <w:rPr>
            <w:rStyle w:val="Hyperlink"/>
          </w:rPr>
          <w:t xml:space="preserve">[36]</w:t>
        </w:r>
      </w:hyperlink>
    </w:p>
    <w:p>
      <w:pPr>
        <w:pStyle w:val="BodyText"/>
      </w:pPr>
      <w:r>
        <w:t xml:space="preserve">Честные ограничения (их лучше сказать самому, чтобы повысить доверие):</w:t>
      </w:r>
      <w:r>
        <w:t xml:space="preserve"> </w:t>
      </w:r>
      <w:r>
        <w:t xml:space="preserve">1) Sentinel‑5P хорошо ловит “аномалии/горячие зоны”, но часто не даёт точности “до конкретной задвижки”; поэтому продукт честно позиционируется как</w:t>
      </w:r>
      <w:r>
        <w:t xml:space="preserve"> </w:t>
      </w:r>
      <w:r>
        <w:rPr>
          <w:b/>
          <w:bCs/>
        </w:rPr>
        <w:t xml:space="preserve">screening &amp; prioritization</w:t>
      </w:r>
      <w:r>
        <w:t xml:space="preserve">: “где проверить в первую очередь”, а подтверждение делается наземными обследованиями/датчиками/дроном.</w:t>
      </w:r>
      <w:r>
        <w:t xml:space="preserve"> </w:t>
      </w:r>
      <w:hyperlink r:id="rId34">
        <w:r>
          <w:rPr>
            <w:rStyle w:val="Hyperlink"/>
          </w:rPr>
          <w:t xml:space="preserve">[23]</w:t>
        </w:r>
      </w:hyperlink>
      <w:r>
        <w:br/>
      </w:r>
      <w:r>
        <w:t xml:space="preserve">2) Спутниковая оценка факелов тоже имеет ограничения и может недооценивать часть сжигания в определённых условиях; это означает, что вы продаёте не “истину в последней инстанции”, а независимый индикатор + тренды + контроль аномалий.</w:t>
      </w:r>
      <w:r>
        <w:t xml:space="preserve"> </w:t>
      </w:r>
      <w:hyperlink r:id="rId43">
        <w:r>
          <w:rPr>
            <w:rStyle w:val="Hyperlink"/>
          </w:rPr>
          <w:t xml:space="preserve">[37]</w:t>
        </w:r>
      </w:hyperlink>
    </w:p>
    <w:bookmarkEnd w:id="44"/>
    <w:bookmarkStart w:id="45" w:name="план-разработки-демо-и-питч"/>
    <w:p>
      <w:pPr>
        <w:pStyle w:val="Heading2"/>
      </w:pPr>
      <w:r>
        <w:t xml:space="preserve">План разработки, демо и питч</w:t>
      </w:r>
    </w:p>
    <w:p>
      <w:pPr>
        <w:pStyle w:val="FirstParagraph"/>
      </w:pPr>
      <w:r>
        <w:t xml:space="preserve">Ниже — план, заточенный под реальность: сегодня 25 марта, до дедлайна 3 апреля меньше двух недель. Поэтому цель — MVP, который выглядит “как продукт”, а не “как ноутбук с кодом”.</w:t>
      </w:r>
    </w:p>
    <w:p>
      <w:pPr>
        <w:pStyle w:val="BodyText"/>
      </w:pPr>
      <w:r>
        <w:t xml:space="preserve">Что должно быть готово к подаче заявки</w:t>
      </w:r>
      <w:r>
        <w:t xml:space="preserve"> </w:t>
      </w:r>
      <w:r>
        <w:t xml:space="preserve">1) 6–10 слайдов: проблема → решение → как работает → рынок/клиент → эффект в KZT → конкуренты → план пилота → команда/что нужно.</w:t>
      </w:r>
      <w:r>
        <w:br/>
      </w:r>
      <w:r>
        <w:t xml:space="preserve">2) Ссылка на демо (даже если это “прототип‑веб‑страница”) + короткое видео 60–90 секунд (скринкаст), где вы показываете 3 сценария: “нашли аномалию → завели задачу → выгрузили отчёт”.</w:t>
      </w:r>
    </w:p>
    <w:p>
      <w:pPr>
        <w:pStyle w:val="BodyText"/>
      </w:pPr>
      <w:r>
        <w:t xml:space="preserve">MVP‑функции (минимум, который выглядит убедительно)</w:t>
      </w:r>
      <w:r>
        <w:t xml:space="preserve"> </w:t>
      </w:r>
      <w:r>
        <w:t xml:space="preserve">1) Карта с выбором территории (полигон/область).</w:t>
      </w:r>
      <w:r>
        <w:br/>
      </w:r>
      <w:r>
        <w:t xml:space="preserve">2) Слой CH₄ (Sentinel‑5P) с простым “индексом аномалии” (например: текущая неделя vs медиана за 8–12 недель).</w:t>
      </w:r>
      <w:r>
        <w:t xml:space="preserve"> </w:t>
      </w:r>
      <w:hyperlink r:id="rId42">
        <w:r>
          <w:rPr>
            <w:rStyle w:val="Hyperlink"/>
          </w:rPr>
          <w:t xml:space="preserve">[38]</w:t>
        </w:r>
      </w:hyperlink>
      <w:r>
        <w:br/>
      </w:r>
      <w:r>
        <w:t xml:space="preserve">3) Слой факелов (VIIRS Nightfire): точки/кластеры + график “по дням/неделям”.</w:t>
      </w:r>
      <w:r>
        <w:t xml:space="preserve"> </w:t>
      </w:r>
      <w:hyperlink r:id="rId32">
        <w:r>
          <w:rPr>
            <w:rStyle w:val="Hyperlink"/>
          </w:rPr>
          <w:t xml:space="preserve">[21]</w:t>
        </w:r>
      </w:hyperlink>
      <w:r>
        <w:br/>
      </w:r>
      <w:r>
        <w:t xml:space="preserve">4) Карточка события (event card): дата, координаты, “уровень подозрения”, комментарии, статус.</w:t>
      </w:r>
      <w:r>
        <w:br/>
      </w:r>
      <w:r>
        <w:t xml:space="preserve">5) Экспорт отчёта в PDF/Docx (1–2 страницы): “что найдено, где, тренд, рекомендации на проверку”.</w:t>
      </w:r>
      <w:r>
        <w:br/>
      </w:r>
      <w:r>
        <w:t xml:space="preserve">6) Псевдо‑интеграция: кнопка “создать задачу LDAR” (пусть даже это создаёт запись в Google Sheet/Notion/Airtable).</w:t>
      </w:r>
    </w:p>
    <w:p>
      <w:pPr>
        <w:pStyle w:val="BodyText"/>
      </w:pPr>
      <w:r>
        <w:t xml:space="preserve">Технологический путь “для новичка” (самый быстрый)</w:t>
      </w:r>
      <w:r>
        <w:t xml:space="preserve"> </w:t>
      </w:r>
      <w:r>
        <w:t xml:space="preserve">1) База для карт и данных: использовать готовые публичные датасеты/интеграции, где Sentinel‑5P CH₄ уже доступен (например, через каталоги данных и готовые слои).</w:t>
      </w:r>
      <w:r>
        <w:t xml:space="preserve"> </w:t>
      </w:r>
      <w:hyperlink r:id="rId42">
        <w:r>
          <w:rPr>
            <w:rStyle w:val="Hyperlink"/>
          </w:rPr>
          <w:t xml:space="preserve">[39]</w:t>
        </w:r>
      </w:hyperlink>
      <w:r>
        <w:br/>
      </w:r>
      <w:r>
        <w:t xml:space="preserve">2) Для факелов: брать выгрузку/слой Nightfire (даже если на MVP это будет “последний месяц по Казахстану” и обновление раз в сутки).</w:t>
      </w:r>
      <w:r>
        <w:t xml:space="preserve"> </w:t>
      </w:r>
      <w:hyperlink r:id="rId32">
        <w:r>
          <w:rPr>
            <w:rStyle w:val="Hyperlink"/>
          </w:rPr>
          <w:t xml:space="preserve">[21]</w:t>
        </w:r>
      </w:hyperlink>
      <w:r>
        <w:br/>
      </w:r>
      <w:r>
        <w:t xml:space="preserve">3) UI: простой веб‑фронт (карта + панель + кнопка экспорта).</w:t>
      </w:r>
      <w:r>
        <w:br/>
      </w:r>
      <w:r>
        <w:t xml:space="preserve">4) Логика отчёта: шаблон + автоподстановка цифр и карты‑скриншота.</w:t>
      </w:r>
    </w:p>
    <w:p>
      <w:pPr>
        <w:pStyle w:val="BodyText"/>
      </w:pPr>
      <w:r>
        <w:t xml:space="preserve">Как посчитать экономику (чтобы топ‑менеджер “схватил”)</w:t>
      </w:r>
      <w:r>
        <w:t xml:space="preserve"> </w:t>
      </w:r>
      <w:r>
        <w:t xml:space="preserve">1) Метан — это утечки продукта: если вы находите и ускоряете устранение утечек, часть мер может окупаться за счёт стоимости улавливаемого газа (IEA прямо говорит о значимой доле сокращений “без чистых затрат”).</w:t>
      </w:r>
      <w:r>
        <w:t xml:space="preserve"> </w:t>
      </w:r>
      <w:hyperlink r:id="rId31">
        <w:r>
          <w:rPr>
            <w:rStyle w:val="Hyperlink"/>
          </w:rPr>
          <w:t xml:space="preserve">[18]</w:t>
        </w:r>
      </w:hyperlink>
      <w:r>
        <w:br/>
      </w:r>
      <w:r>
        <w:t xml:space="preserve">2) Факелы — сжигание полезного ресурса + риск санкций/платежей/репутации; Всемирный банк подчёркивает масштаб “потерь энергии” и общий ущерб от флеринга на глобальном уровне.</w:t>
      </w:r>
      <w:r>
        <w:t xml:space="preserve"> </w:t>
      </w:r>
      <w:hyperlink r:id="rId28">
        <w:r>
          <w:rPr>
            <w:rStyle w:val="Hyperlink"/>
          </w:rPr>
          <w:t xml:space="preserve">[40]</w:t>
        </w:r>
      </w:hyperlink>
      <w:r>
        <w:br/>
      </w:r>
      <w:r>
        <w:t xml:space="preserve">3) Для Казахстана дополнительно продаётся аргумент “соответствие курсу на углеродную нейтральность и обновлённым климатическим обязательствам”.</w:t>
      </w:r>
      <w:r>
        <w:t xml:space="preserve"> </w:t>
      </w:r>
      <w:hyperlink r:id="rId26">
        <w:r>
          <w:rPr>
            <w:rStyle w:val="Hyperlink"/>
          </w:rPr>
          <w:t xml:space="preserve">[41]</w:t>
        </w:r>
      </w:hyperlink>
    </w:p>
    <w:p>
      <w:pPr>
        <w:pStyle w:val="BodyText"/>
      </w:pPr>
      <w:r>
        <w:t xml:space="preserve">Сценарий питча (структура, которую удобно повторить на сцене)</w:t>
      </w:r>
      <w:r>
        <w:t xml:space="preserve"> </w:t>
      </w:r>
      <w:r>
        <w:t xml:space="preserve">1) “Почему сейчас”: Казахстан в Global Methane Pledge + ужесточение требований к отчётности/прозрачности + фокус на спутниковом мониторинге.</w:t>
      </w:r>
      <w:r>
        <w:t xml:space="preserve"> </w:t>
      </w:r>
      <w:hyperlink r:id="rId22">
        <w:r>
          <w:rPr>
            <w:rStyle w:val="Hyperlink"/>
          </w:rPr>
          <w:t xml:space="preserve">[42]</w:t>
        </w:r>
      </w:hyperlink>
      <w:r>
        <w:br/>
      </w:r>
      <w:r>
        <w:t xml:space="preserve">2) “Почему это боль”: метан и флеринг — деньги и риск; значимая доля мер окупаема.</w:t>
      </w:r>
      <w:r>
        <w:t xml:space="preserve"> </w:t>
      </w:r>
      <w:hyperlink r:id="rId31">
        <w:r>
          <w:rPr>
            <w:rStyle w:val="Hyperlink"/>
          </w:rPr>
          <w:t xml:space="preserve">[43]</w:t>
        </w:r>
      </w:hyperlink>
      <w:r>
        <w:br/>
      </w:r>
      <w:r>
        <w:t xml:space="preserve">3) “Что мы сделали”: живое демо карты + событие + задача + PDF‑отчёт.</w:t>
      </w:r>
      <w:r>
        <w:br/>
      </w:r>
      <w:r>
        <w:t xml:space="preserve">4) “Почему мы отличаемся”: не просто отчётность (как класс решений), а контур действий и доказуемость (MRV‑лог).</w:t>
      </w:r>
      <w:r>
        <w:t xml:space="preserve"> </w:t>
      </w:r>
      <w:hyperlink r:id="rId23">
        <w:r>
          <w:rPr>
            <w:rStyle w:val="Hyperlink"/>
          </w:rPr>
          <w:t xml:space="preserve">[24]</w:t>
        </w:r>
      </w:hyperlink>
      <w:r>
        <w:br/>
      </w:r>
      <w:r>
        <w:t xml:space="preserve">5) “Пилот”: 1 актив, 4 недели, без доступа к закрытым данным на старте; KPI — количество выявленных аномалий, время реакции, подтверждённые утечки/снижение тренда.</w:t>
      </w:r>
    </w:p>
    <w:p>
      <w:pPr>
        <w:pStyle w:val="BodyText"/>
      </w:pPr>
      <w:r>
        <w:t xml:space="preserve">Копируемые контакты и точка входа (из официальной страницы конкурса)</w:t>
      </w:r>
    </w:p>
    <w:p>
      <w:pPr>
        <w:pStyle w:val="SourceCode"/>
      </w:pPr>
      <w:r>
        <w:rPr>
          <w:rStyle w:val="VerbatimChar"/>
        </w:rPr>
        <w:t xml:space="preserve">Подача заявки: Kazakhstan Startup Challenge (форма “Подать заявку” на странице конкурса)</w:t>
      </w:r>
      <w:r>
        <w:br/>
      </w:r>
      <w:r>
        <w:rPr>
          <w:rStyle w:val="VerbatimChar"/>
        </w:rPr>
        <w:t xml:space="preserve">Дедлайн: 03.04.2026</w:t>
      </w:r>
      <w:r>
        <w:br/>
      </w:r>
      <w:r>
        <w:rPr>
          <w:rStyle w:val="VerbatimChar"/>
        </w:rPr>
        <w:t xml:space="preserve">Финал: 09.04.2026</w:t>
      </w:r>
      <w:r>
        <w:br/>
      </w:r>
      <w:r>
        <w:br/>
      </w:r>
      <w:r>
        <w:rPr>
          <w:rStyle w:val="VerbatimChar"/>
        </w:rPr>
        <w:t xml:space="preserve">Email организаторов: info@petrocouncil.kz</w:t>
      </w:r>
      <w:r>
        <w:br/>
      </w:r>
      <w:r>
        <w:rPr>
          <w:rStyle w:val="VerbatimChar"/>
        </w:rPr>
        <w:t xml:space="preserve">Телефон: +7 (7122) 206 220</w:t>
      </w:r>
      <w:r>
        <w:br/>
      </w:r>
      <w:r>
        <w:rPr>
          <w:rStyle w:val="VerbatimChar"/>
        </w:rPr>
        <w:t xml:space="preserve">Мобильный: +7 (708) 052-01-25</w:t>
      </w:r>
      <w:r>
        <w:br/>
      </w:r>
      <w:r>
        <w:rPr>
          <w:rStyle w:val="VerbatimChar"/>
        </w:rPr>
        <w:t xml:space="preserve">Страница конкурса: event.petrocouncil.kz/startupchallenge2026</w:t>
      </w:r>
    </w:p>
    <w:p>
      <w:pPr>
        <w:pStyle w:val="FirstParagraph"/>
      </w:pPr>
      <w:r>
        <w:t xml:space="preserve">(Контакты/даты/формат — с официальной страницы конкурса.)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bookmarkEnd w:id="45"/>
    <w:bookmarkEnd w:id="46"/>
    <w:bookmarkEnd w:id="47"/>
    <w:p>
      <w:r>
        <w:pict>
          <v:rect style="width:0;height:1.5pt" o:hralign="center" o:hrstd="t" o:hr="t"/>
        </w:pict>
      </w:r>
    </w:p>
    <w:bookmarkStart w:id="48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  <w:r>
        <w:t xml:space="preserve"> </w:t>
      </w:r>
      <w:hyperlink r:id="rId21">
        <w:r>
          <w:rPr>
            <w:rStyle w:val="Hyperlink"/>
          </w:rPr>
          <w:t xml:space="preserve">[10]</w:t>
        </w:r>
      </w:hyperlink>
      <w:r>
        <w:t xml:space="preserve"> </w:t>
      </w:r>
      <w:hyperlink r:id="rId21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Kazakhstan Startup Challenge</w:t>
      </w:r>
    </w:p>
    <w:p>
      <w:pPr>
        <w:pStyle w:val="BodyText"/>
      </w:pPr>
      <w:hyperlink r:id="rId21">
        <w:r>
          <w:rPr>
            <w:rStyle w:val="Hyperlink"/>
          </w:rPr>
          <w:t xml:space="preserve">https://event.petrocouncil.kz/startupchallenge2026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hyperlink r:id="rId22">
        <w:r>
          <w:rPr>
            <w:rStyle w:val="Hyperlink"/>
          </w:rPr>
          <w:t xml:space="preserve">[14]</w:t>
        </w:r>
      </w:hyperlink>
      <w:r>
        <w:t xml:space="preserve"> </w:t>
      </w:r>
      <w:hyperlink r:id="rId22">
        <w:r>
          <w:rPr>
            <w:rStyle w:val="Hyperlink"/>
          </w:rPr>
          <w:t xml:space="preserve">[26]</w:t>
        </w:r>
      </w:hyperlink>
      <w:r>
        <w:t xml:space="preserve"> </w:t>
      </w:r>
      <w:hyperlink r:id="rId22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U.S.-Kazakhstan Joint Statement on Accelerating Methane ...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https://www.akorda.kz/en/us-kazakhstan-joint-statement-on-accelerating-methane-mitigation-to-achieve-the-global-methane-pledge-2115038?utm_source=chatgpt.com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  <w:r>
        <w:t xml:space="preserve"> </w:t>
      </w:r>
      <w:hyperlink r:id="rId23">
        <w:r>
          <w:rPr>
            <w:rStyle w:val="Hyperlink"/>
          </w:rPr>
          <w:t xml:space="preserve">[13]</w:t>
        </w:r>
      </w:hyperlink>
      <w:r>
        <w:t xml:space="preserve"> </w:t>
      </w:r>
      <w:hyperlink r:id="rId23">
        <w:r>
          <w:rPr>
            <w:rStyle w:val="Hyperlink"/>
          </w:rPr>
          <w:t xml:space="preserve">[24]</w:t>
        </w:r>
      </w:hyperlink>
      <w:r>
        <w:t xml:space="preserve"> </w:t>
      </w:r>
      <w:hyperlink r:id="rId23">
        <w:r>
          <w:rPr>
            <w:rStyle w:val="Hyperlink"/>
          </w:rPr>
          <w:t xml:space="preserve">[25]</w:t>
        </w:r>
      </w:hyperlink>
      <w:r>
        <w:t xml:space="preserve"> </w:t>
      </w:r>
      <w:hyperlink r:id="rId23">
        <w:r>
          <w:rPr>
            <w:rStyle w:val="Hyperlink"/>
          </w:rPr>
          <w:t xml:space="preserve">[29]</w:t>
        </w:r>
      </w:hyperlink>
      <w:r>
        <w:t xml:space="preserve"> </w:t>
      </w:r>
      <w:hyperlink r:id="rId23">
        <w:r>
          <w:rPr>
            <w:rStyle w:val="Hyperlink"/>
          </w:rPr>
          <w:t xml:space="preserve">[34]</w:t>
        </w:r>
      </w:hyperlink>
      <w:r>
        <w:t xml:space="preserve"> </w:t>
      </w:r>
      <w:hyperlink r:id="rId23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https://ru.linkedin.com/posts/petrocouncil-kz_%D0%B2-%D1%80%D0%B0%D0%BC%D0%BA%D0%B0%D1%85-iii-%D0%B5%D0%B6%D0%B5%D0%B3%D0%BE%D0%B4%D0%BD%D0%BE%D0%B3%D0%BE-%D1%84%D0%BE%D1%80%D1%83%D0%BC%D0%B0-petrodigital-activity-7315002139670458368-Ob6v</w:t>
      </w:r>
    </w:p>
    <w:p>
      <w:pPr>
        <w:pStyle w:val="BodyText"/>
      </w:pPr>
      <w:hyperlink r:id="rId23">
        <w:r>
          <w:rPr>
            <w:rStyle w:val="Hyperlink"/>
          </w:rPr>
          <w:t xml:space="preserve">https://ru.linkedin.com/posts/petrocouncil-kz_%D0%B2-%D1%80%D0%B0%D0%BC%D0%BA%D0%B0%D1%85-iii-%D0%B5%D0%B6%D0%B5%D0%B3%D0%BE%D0%B4%D0%BD%D0%BE%D0%B3%D0%BE-%D1%84%D0%BE%D1%80%D1%83%D0%BC%D0%B0-petrodigital-activity-7315002139670458368-Ob6v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PetroDigital 2026</w:t>
      </w:r>
    </w:p>
    <w:p>
      <w:pPr>
        <w:pStyle w:val="BodyText"/>
      </w:pPr>
      <w:hyperlink r:id="rId24">
        <w:r>
          <w:rPr>
            <w:rStyle w:val="Hyperlink"/>
          </w:rPr>
          <w:t xml:space="preserve">https://event.petrocouncil.kz/petrodigital2026?utm_source=chatgpt.com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[11]</w:t>
        </w:r>
      </w:hyperlink>
      <w:r>
        <w:t xml:space="preserve"> </w:t>
      </w:r>
      <w:hyperlink r:id="rId26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STRATEGY of the Republic of Kazakhstan on Achieving ...</w:t>
      </w:r>
    </w:p>
    <w:p>
      <w:pPr>
        <w:pStyle w:val="BodyText"/>
      </w:pPr>
      <w:hyperlink r:id="rId26">
        <w:r>
          <w:rPr>
            <w:rStyle w:val="Hyperlink"/>
          </w:rPr>
          <w:t xml:space="preserve">https://unfccc.int/sites/default/files/resource/Carbon_Neutrlaity_Strategy_Kazakhstan_Eng_Oct2024.pdf?utm_source=chatgpt.com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Nationally determined contribution of the Republic of ...</w:t>
      </w:r>
    </w:p>
    <w:p>
      <w:pPr>
        <w:pStyle w:val="BodyText"/>
      </w:pPr>
      <w:hyperlink r:id="rId27">
        <w:r>
          <w:rPr>
            <w:rStyle w:val="Hyperlink"/>
          </w:rPr>
          <w:t xml:space="preserve">https://unfccc.int/sites/default/files/2025-11/NDC_Kazakhstan%203.0%20eng.pdf?utm_source=chatgpt.com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[15]</w:t>
        </w:r>
      </w:hyperlink>
      <w:r>
        <w:t xml:space="preserve"> </w:t>
      </w:r>
      <w:hyperlink r:id="rId28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Global Flaring and Methane Reduction Partnership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https://www.worldbank.org/en/programs/gasflaringreduction?utm_source=chatgpt.com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https://flaringventingregulations.worldbank.org/kazakhstan</w:t>
      </w:r>
    </w:p>
    <w:p>
      <w:pPr>
        <w:pStyle w:val="BodyText"/>
      </w:pPr>
      <w:hyperlink r:id="rId29">
        <w:r>
          <w:rPr>
            <w:rStyle w:val="Hyperlink"/>
          </w:rPr>
          <w:t xml:space="preserve">https://flaringventingregulations.worldbank.org/kazakhstan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[17]</w:t>
        </w:r>
      </w:hyperlink>
      <w:r>
        <w:t xml:space="preserve"> </w:t>
      </w:r>
      <w:hyperlink r:id="rId30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2025 Global Gas Flaring Tracker Report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https://www.worldbank.org/en/programs/gasflaringreduction/publication/2025-global-gas-flaring-tracker-report?utm_source=chatgpt.com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[18]</w:t>
        </w:r>
      </w:hyperlink>
      <w:r>
        <w:t xml:space="preserve"> </w:t>
      </w:r>
      <w:hyperlink r:id="rId31">
        <w:r>
          <w:rPr>
            <w:rStyle w:val="Hyperlink"/>
          </w:rPr>
          <w:t xml:space="preserve">[32]</w:t>
        </w:r>
      </w:hyperlink>
      <w:r>
        <w:t xml:space="preserve"> </w:t>
      </w:r>
      <w:hyperlink r:id="rId31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Key findings – Global Methane Tracker 2025 – Analysis - IEA</w:t>
      </w:r>
    </w:p>
    <w:p>
      <w:pPr>
        <w:pStyle w:val="BodyText"/>
      </w:pPr>
      <w:hyperlink r:id="rId31">
        <w:r>
          <w:rPr>
            <w:rStyle w:val="Hyperlink"/>
          </w:rPr>
          <w:t xml:space="preserve">https://www.iea.org/reports/global-methane-tracker-2025/key-findings?utm_source=chatgpt.com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VIIRS Nightfire</w:t>
      </w:r>
    </w:p>
    <w:p>
      <w:pPr>
        <w:pStyle w:val="BodyText"/>
      </w:pPr>
      <w:hyperlink r:id="rId32">
        <w:r>
          <w:rPr>
            <w:rStyle w:val="Hyperlink"/>
          </w:rPr>
          <w:t xml:space="preserve">https://eogdata.mines.edu/products/vnf/index.html?utm_source=chatgpt.com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[22]</w:t>
        </w:r>
      </w:hyperlink>
      <w:r>
        <w:t xml:space="preserve"> </w:t>
      </w:r>
      <w:hyperlink r:id="rId33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Sentinel-5 Precursor Level 2 Methane - Copernicus</w:t>
      </w:r>
    </w:p>
    <w:p>
      <w:pPr>
        <w:pStyle w:val="BodyText"/>
      </w:pPr>
      <w:hyperlink r:id="rId33">
        <w:r>
          <w:rPr>
            <w:rStyle w:val="Hyperlink"/>
          </w:rPr>
          <w:t xml:space="preserve">https://sentinels.copernicus.eu/data-products/-/asset_publisher/fp37fc19FN8F/content/tropomi-level-2-methane?utm_source=chatgpt.com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Monitoring oil and gas field CH4 leaks by Sentinel-5P ...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https://www.sciencedirect.com/science/article/abs/pii/S0016236124030394?utm_source=chatgpt.com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iogp.org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https://www.iogp.org/wp-content/uploads/2018/11/07JobSafetyAnalysisPTW_IOGP577version1.2.pdf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https://event.petrocouncil.kz/</w:t>
      </w:r>
    </w:p>
    <w:p>
      <w:pPr>
        <w:pStyle w:val="BodyText"/>
      </w:pPr>
      <w:hyperlink r:id="rId38">
        <w:r>
          <w:rPr>
            <w:rStyle w:val="Hyperlink"/>
          </w:rPr>
          <w:t xml:space="preserve">https://event.petrocouncil.kz/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IPCC Global Warming Potential Values</w:t>
      </w:r>
    </w:p>
    <w:p>
      <w:pPr>
        <w:pStyle w:val="BodyText"/>
      </w:pPr>
      <w:hyperlink r:id="rId40">
        <w:r>
          <w:rPr>
            <w:rStyle w:val="Hyperlink"/>
          </w:rPr>
          <w:t xml:space="preserve">https://ghgprotocol.org/sites/default/files/2024-08/Global-Warming-Potential-Values%20%28August%202024%29.pdf?utm_source=chatgpt.com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Kazakhstan to Develop a National Methane Emissions ...</w:t>
      </w:r>
    </w:p>
    <w:p>
      <w:pPr>
        <w:pStyle w:val="BodyText"/>
      </w:pPr>
      <w:hyperlink r:id="rId41">
        <w:r>
          <w:rPr>
            <w:rStyle w:val="Hyperlink"/>
          </w:rPr>
          <w:t xml:space="preserve">https://caclimate.fund/en/novosti/kazakhstan-to-develop-a-national-methane-emissions-reduction-action-plan?utm_source=chatgpt.com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[35]</w:t>
        </w:r>
      </w:hyperlink>
      <w:r>
        <w:t xml:space="preserve"> </w:t>
      </w:r>
      <w:hyperlink r:id="rId42">
        <w:r>
          <w:rPr>
            <w:rStyle w:val="Hyperlink"/>
          </w:rPr>
          <w:t xml:space="preserve">[38]</w:t>
        </w:r>
      </w:hyperlink>
      <w:r>
        <w:t xml:space="preserve"> </w:t>
      </w:r>
      <w:hyperlink r:id="rId42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Sentinel-5P OFFL CH4: Offline Methane</w:t>
      </w:r>
    </w:p>
    <w:p>
      <w:pPr>
        <w:pStyle w:val="BodyText"/>
      </w:pPr>
      <w:hyperlink r:id="rId42">
        <w:r>
          <w:rPr>
            <w:rStyle w:val="Hyperlink"/>
          </w:rPr>
          <w:t xml:space="preserve">https://developers.google.com/earth-engine/datasets/catalog/COPERNICUS_S5P_OFFL_L3_CH4?utm_source=chatgpt.com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Gas Flaring Is Likely Underestimated by Satellites due to ...</w:t>
      </w:r>
    </w:p>
    <w:p>
      <w:pPr>
        <w:pStyle w:val="BodyText"/>
      </w:pPr>
      <w:hyperlink r:id="rId43">
        <w:r>
          <w:rPr>
            <w:rStyle w:val="Hyperlink"/>
          </w:rPr>
          <w:t xml:space="preserve">https://pubs.acs.org/doi/10.1021/acs.est.5c03928?utm_source=chatgpt.com</w:t>
        </w:r>
      </w:hyperlink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1" Target="https://caclimate.fund/en/novosti/kazakhstan-to-develop-a-national-methane-emissions-reduction-action-plan?utm_source=chatgpt.com" TargetMode="External" /><Relationship Type="http://schemas.openxmlformats.org/officeDocument/2006/relationships/hyperlink" Id="rId42" Target="https://developers.google.com/earth-engine/datasets/catalog/COPERNICUS_S5P_OFFL_L3_CH4?utm_source=chatgpt.com" TargetMode="External" /><Relationship Type="http://schemas.openxmlformats.org/officeDocument/2006/relationships/hyperlink" Id="rId32" Target="https://eogdata.mines.edu/products/vnf/index.html?utm_source=chatgpt.com" TargetMode="External" /><Relationship Type="http://schemas.openxmlformats.org/officeDocument/2006/relationships/hyperlink" Id="rId38" Target="https://event.petrocouncil.kz/" TargetMode="External" /><Relationship Type="http://schemas.openxmlformats.org/officeDocument/2006/relationships/hyperlink" Id="rId24" Target="https://event.petrocouncil.kz/petrodigital2026?utm_source=chatgpt.com" TargetMode="External" /><Relationship Type="http://schemas.openxmlformats.org/officeDocument/2006/relationships/hyperlink" Id="rId21" Target="https://event.petrocouncil.kz/startupchallenge2026" TargetMode="External" /><Relationship Type="http://schemas.openxmlformats.org/officeDocument/2006/relationships/hyperlink" Id="rId29" Target="https://flaringventingregulations.worldbank.org/kazakhstan" TargetMode="External" /><Relationship Type="http://schemas.openxmlformats.org/officeDocument/2006/relationships/hyperlink" Id="rId40" Target="https://ghgprotocol.org/sites/default/files/2024-08/Global-Warming-Potential-Values%20%28August%202024%29.pdf?utm_source=chatgpt.com" TargetMode="External" /><Relationship Type="http://schemas.openxmlformats.org/officeDocument/2006/relationships/hyperlink" Id="rId43" Target="https://pubs.acs.org/doi/10.1021/acs.est.5c03928?utm_source=chatgpt.com" TargetMode="External" /><Relationship Type="http://schemas.openxmlformats.org/officeDocument/2006/relationships/hyperlink" Id="rId23" Target="https://ru.linkedin.com/posts/petrocouncil-kz_%D0%B2-%D1%80%D0%B0%D0%BC%D0%BA%D0%B0%D1%85-iii-%D0%B5%D0%B6%D0%B5%D0%B3%D0%BE%D0%B4%D0%BD%D0%BE%D0%B3%D0%BE-%D1%84%D0%BE%D1%80%D1%83%D0%BC%D0%B0-petrodigital-activity-7315002139670458368-Ob6v" TargetMode="External" /><Relationship Type="http://schemas.openxmlformats.org/officeDocument/2006/relationships/hyperlink" Id="rId33" Target="https://sentinels.copernicus.eu/data-products/-/asset_publisher/fp37fc19FN8F/content/tropomi-level-2-methane?utm_source=chatgpt.com" TargetMode="External" /><Relationship Type="http://schemas.openxmlformats.org/officeDocument/2006/relationships/hyperlink" Id="rId27" Target="https://unfccc.int/sites/default/files/2025-11/NDC_Kazakhstan%203.0%20eng.pdf?utm_source=chatgpt.com" TargetMode="External" /><Relationship Type="http://schemas.openxmlformats.org/officeDocument/2006/relationships/hyperlink" Id="rId26" Target="https://unfccc.int/sites/default/files/resource/Carbon_Neutrlaity_Strategy_Kazakhstan_Eng_Oct2024.pdf?utm_source=chatgpt.com" TargetMode="External" /><Relationship Type="http://schemas.openxmlformats.org/officeDocument/2006/relationships/hyperlink" Id="rId22" Target="https://www.akorda.kz/en/us-kazakhstan-joint-statement-on-accelerating-methane-mitigation-to-achieve-the-global-methane-pledge-2115038?utm_source=chatgpt.com" TargetMode="External" /><Relationship Type="http://schemas.openxmlformats.org/officeDocument/2006/relationships/hyperlink" Id="rId31" Target="https://www.iea.org/reports/global-methane-tracker-2025/key-findings?utm_source=chatgpt.com" TargetMode="External" /><Relationship Type="http://schemas.openxmlformats.org/officeDocument/2006/relationships/hyperlink" Id="rId37" Target="https://www.iogp.org/wp-content/uploads/2018/11/07JobSafetyAnalysisPTW_IOGP577version1.2.pdf" TargetMode="External" /><Relationship Type="http://schemas.openxmlformats.org/officeDocument/2006/relationships/hyperlink" Id="rId34" Target="https://www.sciencedirect.com/science/article/abs/pii/S0016236124030394?utm_source=chatgpt.com" TargetMode="External" /><Relationship Type="http://schemas.openxmlformats.org/officeDocument/2006/relationships/hyperlink" Id="rId30" Target="https://www.worldbank.org/en/programs/gasflaringreduction/publication/2025-global-gas-flaring-tracker-report?utm_source=chatgpt.com" TargetMode="External" /><Relationship Type="http://schemas.openxmlformats.org/officeDocument/2006/relationships/hyperlink" Id="rId28" Target="https://www.worldbank.org/en/programs/gasflaringreduction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caclimate.fund/en/novosti/kazakhstan-to-develop-a-national-methane-emissions-reduction-action-plan?utm_source=chatgpt.com" TargetMode="External" /><Relationship Type="http://schemas.openxmlformats.org/officeDocument/2006/relationships/hyperlink" Id="rId42" Target="https://developers.google.com/earth-engine/datasets/catalog/COPERNICUS_S5P_OFFL_L3_CH4?utm_source=chatgpt.com" TargetMode="External" /><Relationship Type="http://schemas.openxmlformats.org/officeDocument/2006/relationships/hyperlink" Id="rId32" Target="https://eogdata.mines.edu/products/vnf/index.html?utm_source=chatgpt.com" TargetMode="External" /><Relationship Type="http://schemas.openxmlformats.org/officeDocument/2006/relationships/hyperlink" Id="rId38" Target="https://event.petrocouncil.kz/" TargetMode="External" /><Relationship Type="http://schemas.openxmlformats.org/officeDocument/2006/relationships/hyperlink" Id="rId24" Target="https://event.petrocouncil.kz/petrodigital2026?utm_source=chatgpt.com" TargetMode="External" /><Relationship Type="http://schemas.openxmlformats.org/officeDocument/2006/relationships/hyperlink" Id="rId21" Target="https://event.petrocouncil.kz/startupchallenge2026" TargetMode="External" /><Relationship Type="http://schemas.openxmlformats.org/officeDocument/2006/relationships/hyperlink" Id="rId29" Target="https://flaringventingregulations.worldbank.org/kazakhstan" TargetMode="External" /><Relationship Type="http://schemas.openxmlformats.org/officeDocument/2006/relationships/hyperlink" Id="rId40" Target="https://ghgprotocol.org/sites/default/files/2024-08/Global-Warming-Potential-Values%20%28August%202024%29.pdf?utm_source=chatgpt.com" TargetMode="External" /><Relationship Type="http://schemas.openxmlformats.org/officeDocument/2006/relationships/hyperlink" Id="rId43" Target="https://pubs.acs.org/doi/10.1021/acs.est.5c03928?utm_source=chatgpt.com" TargetMode="External" /><Relationship Type="http://schemas.openxmlformats.org/officeDocument/2006/relationships/hyperlink" Id="rId23" Target="https://ru.linkedin.com/posts/petrocouncil-kz_%D0%B2-%D1%80%D0%B0%D0%BC%D0%BA%D0%B0%D1%85-iii-%D0%B5%D0%B6%D0%B5%D0%B3%D0%BE%D0%B4%D0%BD%D0%BE%D0%B3%D0%BE-%D1%84%D0%BE%D1%80%D1%83%D0%BC%D0%B0-petrodigital-activity-7315002139670458368-Ob6v" TargetMode="External" /><Relationship Type="http://schemas.openxmlformats.org/officeDocument/2006/relationships/hyperlink" Id="rId33" Target="https://sentinels.copernicus.eu/data-products/-/asset_publisher/fp37fc19FN8F/content/tropomi-level-2-methane?utm_source=chatgpt.com" TargetMode="External" /><Relationship Type="http://schemas.openxmlformats.org/officeDocument/2006/relationships/hyperlink" Id="rId27" Target="https://unfccc.int/sites/default/files/2025-11/NDC_Kazakhstan%203.0%20eng.pdf?utm_source=chatgpt.com" TargetMode="External" /><Relationship Type="http://schemas.openxmlformats.org/officeDocument/2006/relationships/hyperlink" Id="rId26" Target="https://unfccc.int/sites/default/files/resource/Carbon_Neutrlaity_Strategy_Kazakhstan_Eng_Oct2024.pdf?utm_source=chatgpt.com" TargetMode="External" /><Relationship Type="http://schemas.openxmlformats.org/officeDocument/2006/relationships/hyperlink" Id="rId22" Target="https://www.akorda.kz/en/us-kazakhstan-joint-statement-on-accelerating-methane-mitigation-to-achieve-the-global-methane-pledge-2115038?utm_source=chatgpt.com" TargetMode="External" /><Relationship Type="http://schemas.openxmlformats.org/officeDocument/2006/relationships/hyperlink" Id="rId31" Target="https://www.iea.org/reports/global-methane-tracker-2025/key-findings?utm_source=chatgpt.com" TargetMode="External" /><Relationship Type="http://schemas.openxmlformats.org/officeDocument/2006/relationships/hyperlink" Id="rId37" Target="https://www.iogp.org/wp-content/uploads/2018/11/07JobSafetyAnalysisPTW_IOGP577version1.2.pdf" TargetMode="External" /><Relationship Type="http://schemas.openxmlformats.org/officeDocument/2006/relationships/hyperlink" Id="rId34" Target="https://www.sciencedirect.com/science/article/abs/pii/S0016236124030394?utm_source=chatgpt.com" TargetMode="External" /><Relationship Type="http://schemas.openxmlformats.org/officeDocument/2006/relationships/hyperlink" Id="rId30" Target="https://www.worldbank.org/en/programs/gasflaringreduction/publication/2025-global-gas-flaring-tracker-report?utm_source=chatgpt.com" TargetMode="External" /><Relationship Type="http://schemas.openxmlformats.org/officeDocument/2006/relationships/hyperlink" Id="rId28" Target="https://www.worldbank.org/en/programs/gasflaringreduction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2026-03-25T15:14:47Z</dcterms:created>
  <dcterms:modified xsi:type="dcterms:W3CDTF">2026-03-25T15:14:47Z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