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6D0A" w14:textId="7CC1616F" w:rsidR="000A62D3" w:rsidRDefault="00000000">
      <w:pPr>
        <w:jc w:val="center"/>
      </w:pPr>
      <w:r>
        <w:rPr>
          <w:b/>
          <w:sz w:val="28"/>
        </w:rPr>
        <w:t>CS 405 Project Two Script</w:t>
      </w:r>
      <w:r>
        <w:rPr>
          <w:b/>
          <w:sz w:val="28"/>
        </w:rPr>
        <w:br/>
      </w:r>
      <w:r>
        <w:t>Project Two: Security Policy Presentation</w:t>
      </w:r>
      <w:r>
        <w:br/>
        <w:t>Dylan Harris</w:t>
      </w:r>
      <w:r>
        <w:br/>
        <w:t xml:space="preserve">Date: </w:t>
      </w:r>
      <w:r w:rsidR="009F4BF3">
        <w:t>8/16/2026</w:t>
      </w:r>
      <w:r>
        <w:br/>
        <w:t xml:space="preserve">Video Link: </w:t>
      </w:r>
      <w:r w:rsidR="00E97FA2" w:rsidRPr="00E97FA2">
        <w:t>https://youtu.be/knRo38BaMqI</w:t>
      </w:r>
    </w:p>
    <w:p w14:paraId="68FAF5C4" w14:textId="77777777" w:rsidR="000A62D3" w:rsidRDefault="000A62D3"/>
    <w:tbl>
      <w:tblPr>
        <w:tblStyle w:val="TableGrid"/>
        <w:tblW w:w="0" w:type="auto"/>
        <w:jc w:val="center"/>
        <w:tblLook w:val="04A0" w:firstRow="1" w:lastRow="0" w:firstColumn="1" w:lastColumn="0" w:noHBand="0" w:noVBand="1"/>
      </w:tblPr>
      <w:tblGrid>
        <w:gridCol w:w="3412"/>
        <w:gridCol w:w="6164"/>
      </w:tblGrid>
      <w:tr w:rsidR="000A62D3" w14:paraId="075B48F7" w14:textId="77777777">
        <w:trPr>
          <w:jc w:val="center"/>
        </w:trPr>
        <w:tc>
          <w:tcPr>
            <w:tcW w:w="4680" w:type="dxa"/>
            <w:vAlign w:val="center"/>
          </w:tcPr>
          <w:p w14:paraId="7EB357EF" w14:textId="77777777" w:rsidR="000A62D3" w:rsidRDefault="00000000">
            <w:r>
              <w:rPr>
                <w:b/>
              </w:rPr>
              <w:t>Slide Number</w:t>
            </w:r>
          </w:p>
        </w:tc>
        <w:tc>
          <w:tcPr>
            <w:tcW w:w="4680" w:type="dxa"/>
            <w:vAlign w:val="center"/>
          </w:tcPr>
          <w:p w14:paraId="41417611" w14:textId="77777777" w:rsidR="000A62D3" w:rsidRDefault="00000000">
            <w:r>
              <w:rPr>
                <w:b/>
              </w:rPr>
              <w:t>Narrative</w:t>
            </w:r>
          </w:p>
        </w:tc>
      </w:tr>
      <w:tr w:rsidR="000A62D3" w14:paraId="61115D0F" w14:textId="77777777">
        <w:trPr>
          <w:jc w:val="center"/>
        </w:trPr>
        <w:tc>
          <w:tcPr>
            <w:tcW w:w="1584" w:type="dxa"/>
          </w:tcPr>
          <w:p w14:paraId="540AD697" w14:textId="77777777" w:rsidR="000A62D3" w:rsidRDefault="00000000">
            <w:r>
              <w:t>1</w:t>
            </w:r>
          </w:p>
        </w:tc>
        <w:tc>
          <w:tcPr>
            <w:tcW w:w="8496" w:type="dxa"/>
          </w:tcPr>
          <w:p w14:paraId="3ED734CC" w14:textId="77777777" w:rsidR="000A62D3" w:rsidRDefault="00000000">
            <w:r>
              <w:t>This presentation introduces the Green Pace secure development policy. My name is Dylan Harris, and this presentation explains how the policy turns secure coding expectations into clear standards that developers can apply, test, and maintain over time.</w:t>
            </w:r>
          </w:p>
        </w:tc>
      </w:tr>
      <w:tr w:rsidR="000A62D3" w14:paraId="4C6D76D4" w14:textId="77777777">
        <w:trPr>
          <w:jc w:val="center"/>
        </w:trPr>
        <w:tc>
          <w:tcPr>
            <w:tcW w:w="1584" w:type="dxa"/>
          </w:tcPr>
          <w:p w14:paraId="722BF850" w14:textId="77777777" w:rsidR="000A62D3" w:rsidRDefault="00000000">
            <w:r>
              <w:t>2</w:t>
            </w:r>
          </w:p>
        </w:tc>
        <w:tc>
          <w:tcPr>
            <w:tcW w:w="8496" w:type="dxa"/>
          </w:tcPr>
          <w:p w14:paraId="1BE21C89" w14:textId="77777777" w:rsidR="000A62D3" w:rsidRDefault="00000000">
            <w:r>
              <w:t>Green Pace needs a consistent security policy because custom software is easier to secure when every developer follows the same principles and standards. The policy supports defense in depth by using multiple layers of protection instead of depending on one control. Input validation, access control, encryption, logging, testing, monitoring, and policy enforcement work together so that if one layer misses a problem, another layer may still reduce the risk.</w:t>
            </w:r>
          </w:p>
        </w:tc>
      </w:tr>
      <w:tr w:rsidR="000A62D3" w14:paraId="07E7A203" w14:textId="77777777">
        <w:trPr>
          <w:jc w:val="center"/>
        </w:trPr>
        <w:tc>
          <w:tcPr>
            <w:tcW w:w="1584" w:type="dxa"/>
          </w:tcPr>
          <w:p w14:paraId="1E7492A9" w14:textId="77777777" w:rsidR="000A62D3" w:rsidRDefault="00000000">
            <w:r>
              <w:t>3</w:t>
            </w:r>
          </w:p>
        </w:tc>
        <w:tc>
          <w:tcPr>
            <w:tcW w:w="8496" w:type="dxa"/>
          </w:tcPr>
          <w:p w14:paraId="792B2998" w14:textId="77777777" w:rsidR="000A62D3" w:rsidRDefault="00000000">
            <w:r>
              <w:t>The threats matrix organizes the risks from the policy by likelihood and impact. The highest priority issues are SQL injection and memory protection because they can lead to data exposure, unauthorized access, crashes, or undefined behavior. Numeric validation, string safety, exception handling, pointer validation, and container bounds are also high-priority because they are realistic defects in C++ software. Lower-level items still matter, but they are easier to detect and manage through warnings, reviews, and automated tests.</w:t>
            </w:r>
          </w:p>
        </w:tc>
      </w:tr>
      <w:tr w:rsidR="000A62D3" w14:paraId="5EFC6D86" w14:textId="77777777">
        <w:trPr>
          <w:jc w:val="center"/>
        </w:trPr>
        <w:tc>
          <w:tcPr>
            <w:tcW w:w="1584" w:type="dxa"/>
          </w:tcPr>
          <w:p w14:paraId="5C3EEEE2" w14:textId="77777777" w:rsidR="000A62D3" w:rsidRDefault="00000000">
            <w:r>
              <w:t>4</w:t>
            </w:r>
          </w:p>
        </w:tc>
        <w:tc>
          <w:tcPr>
            <w:tcW w:w="8496" w:type="dxa"/>
          </w:tcPr>
          <w:p w14:paraId="755F2ADE" w14:textId="77777777" w:rsidR="000A62D3" w:rsidRDefault="00000000">
            <w:r>
              <w:t>The ten principles guide the standards. Input validation supports most of the coding standards because many vulnerabilities begin with unchecked data. Compiler warnings support data type and numeric rules. Default deny, least privilege, defense in depth, and effective quality assurance all help make the policy practical. The standards are not isolated rules; they are connected to broader security principles that make the policy repeatable.</w:t>
            </w:r>
          </w:p>
        </w:tc>
      </w:tr>
      <w:tr w:rsidR="000A62D3" w14:paraId="6BA8B336" w14:textId="77777777">
        <w:trPr>
          <w:jc w:val="center"/>
        </w:trPr>
        <w:tc>
          <w:tcPr>
            <w:tcW w:w="1584" w:type="dxa"/>
          </w:tcPr>
          <w:p w14:paraId="150296A8" w14:textId="77777777" w:rsidR="000A62D3" w:rsidRDefault="00000000">
            <w:r>
              <w:t>5</w:t>
            </w:r>
          </w:p>
        </w:tc>
        <w:tc>
          <w:tcPr>
            <w:tcW w:w="8496" w:type="dxa"/>
          </w:tcPr>
          <w:p w14:paraId="1F5A70DE" w14:textId="77777777" w:rsidR="000A62D3" w:rsidRDefault="00000000">
            <w:r>
              <w:t xml:space="preserve">The coding standards are prioritized using severity, likelihood, remediation cost, and overall threat level. Level 5 items are addressed first because they create the greatest risk. In this policy, SQL injection and memory protection are the highest priority. Level 4 items include numeric validation, string safety, exception handling, pointer validation, and </w:t>
            </w:r>
            <w:r>
              <w:lastRenderedPageBreak/>
              <w:t>container bounds. Runtime validation and RAII are medium priority, and explicit data type selection is lower but still important because it prevents subtle logic errors.</w:t>
            </w:r>
          </w:p>
        </w:tc>
      </w:tr>
      <w:tr w:rsidR="000A62D3" w14:paraId="2E55A1FA" w14:textId="77777777">
        <w:trPr>
          <w:jc w:val="center"/>
        </w:trPr>
        <w:tc>
          <w:tcPr>
            <w:tcW w:w="1584" w:type="dxa"/>
          </w:tcPr>
          <w:p w14:paraId="41F01228" w14:textId="77777777" w:rsidR="000A62D3" w:rsidRDefault="00000000">
            <w:r>
              <w:lastRenderedPageBreak/>
              <w:t>6</w:t>
            </w:r>
          </w:p>
        </w:tc>
        <w:tc>
          <w:tcPr>
            <w:tcW w:w="8496" w:type="dxa"/>
          </w:tcPr>
          <w:p w14:paraId="31F565F8" w14:textId="77777777" w:rsidR="000A62D3" w:rsidRDefault="00000000">
            <w:r>
              <w:t>The encryption policy covers data at rest, in flight, and in use. Data at rest includes databases, files, backups, and storage devices, and it should be protected with approved strong encryption such as AES-256. Data in flight should use encrypted protocols such as TLS 1.2 or later. Data in use requires limiting plaintext exposure while data is processed, restricting access to processes and memory, and preventing passwords, keys, and tokens from being written to logs.</w:t>
            </w:r>
          </w:p>
        </w:tc>
      </w:tr>
      <w:tr w:rsidR="000A62D3" w14:paraId="45C638F8" w14:textId="77777777">
        <w:trPr>
          <w:jc w:val="center"/>
        </w:trPr>
        <w:tc>
          <w:tcPr>
            <w:tcW w:w="1584" w:type="dxa"/>
          </w:tcPr>
          <w:p w14:paraId="2633C738" w14:textId="77777777" w:rsidR="000A62D3" w:rsidRDefault="00000000">
            <w:r>
              <w:t>7</w:t>
            </w:r>
          </w:p>
        </w:tc>
        <w:tc>
          <w:tcPr>
            <w:tcW w:w="8496" w:type="dxa"/>
          </w:tcPr>
          <w:p w14:paraId="2B6E6931" w14:textId="77777777" w:rsidR="000A62D3" w:rsidRDefault="00000000">
            <w:r>
              <w:t>The Triple-A framework is authentication, authorization, and accounting. Authentication verifies identity through unique accounts, secure password storage, and multi-factor authentication where appropriate. Authorization controls what authenticated users and services can do by using role-based access, default deny, and least privilege. Accounting records security-relevant events so Green Pace can detect threats, investigate incidents, and show evidence of compliance.</w:t>
            </w:r>
          </w:p>
        </w:tc>
      </w:tr>
      <w:tr w:rsidR="000A62D3" w14:paraId="25DCFC82" w14:textId="77777777">
        <w:trPr>
          <w:jc w:val="center"/>
        </w:trPr>
        <w:tc>
          <w:tcPr>
            <w:tcW w:w="1584" w:type="dxa"/>
          </w:tcPr>
          <w:p w14:paraId="60845676" w14:textId="77777777" w:rsidR="000A62D3" w:rsidRDefault="00000000">
            <w:r>
              <w:t>8</w:t>
            </w:r>
          </w:p>
        </w:tc>
        <w:tc>
          <w:tcPr>
            <w:tcW w:w="8496" w:type="dxa"/>
          </w:tcPr>
          <w:p w14:paraId="4FF5DAF0" w14:textId="77777777" w:rsidR="000A62D3" w:rsidRDefault="00000000">
            <w:r>
              <w:t>For unit testing, I selected SQL injection because it is the highest-ranked coding standard in the policy and because it is practical to test with both normal and malicious input. The related standard is STD-004-CPP, which requires parameterized SQL statements. The goal is to prove that user input is treated as data rather than SQL command text. The tests include normal input, injection attempts, command attempts, and invalid boundary values.</w:t>
            </w:r>
          </w:p>
        </w:tc>
      </w:tr>
      <w:tr w:rsidR="000A62D3" w14:paraId="71B18118" w14:textId="77777777">
        <w:trPr>
          <w:jc w:val="center"/>
        </w:trPr>
        <w:tc>
          <w:tcPr>
            <w:tcW w:w="1584" w:type="dxa"/>
          </w:tcPr>
          <w:p w14:paraId="29CFE078" w14:textId="77777777" w:rsidR="000A62D3" w:rsidRDefault="00000000">
            <w:r>
              <w:t>9</w:t>
            </w:r>
          </w:p>
        </w:tc>
        <w:tc>
          <w:tcPr>
            <w:tcW w:w="8496" w:type="dxa"/>
          </w:tcPr>
          <w:p w14:paraId="26E31BE2" w14:textId="77777777" w:rsidR="000A62D3" w:rsidRDefault="00000000">
            <w:r>
              <w:t>The first unit test is a positive test. It uses a valid username and verifies that the query returns only the expected matching user. This is important because security controls should not break normal application behavior. If parameterized SQL is implemented correctly, the application still performs the normal lookup while keeping user input separated from the command structure.</w:t>
            </w:r>
          </w:p>
        </w:tc>
      </w:tr>
      <w:tr w:rsidR="000A62D3" w14:paraId="4373B67E" w14:textId="77777777">
        <w:trPr>
          <w:jc w:val="center"/>
        </w:trPr>
        <w:tc>
          <w:tcPr>
            <w:tcW w:w="1584" w:type="dxa"/>
          </w:tcPr>
          <w:p w14:paraId="41B2674F" w14:textId="77777777" w:rsidR="000A62D3" w:rsidRDefault="00000000">
            <w:r>
              <w:t>10</w:t>
            </w:r>
          </w:p>
        </w:tc>
        <w:tc>
          <w:tcPr>
            <w:tcW w:w="8496" w:type="dxa"/>
          </w:tcPr>
          <w:p w14:paraId="7432299F" w14:textId="77777777" w:rsidR="000A62D3" w:rsidRDefault="00000000">
            <w:r>
              <w:t>The second unit test is a negative security test. It uses an input such as OR one equals one, which is a common SQL injection pattern. The expected result is that the input is treated as plain text and does not change the where clause. Passing this test shows that the application does not return extra records or bypass the intended lookup.</w:t>
            </w:r>
          </w:p>
        </w:tc>
      </w:tr>
      <w:tr w:rsidR="000A62D3" w14:paraId="073C4D85" w14:textId="77777777">
        <w:trPr>
          <w:jc w:val="center"/>
        </w:trPr>
        <w:tc>
          <w:tcPr>
            <w:tcW w:w="1584" w:type="dxa"/>
          </w:tcPr>
          <w:p w14:paraId="492CD1D2" w14:textId="77777777" w:rsidR="000A62D3" w:rsidRDefault="00000000">
            <w:r>
              <w:t>11</w:t>
            </w:r>
          </w:p>
        </w:tc>
        <w:tc>
          <w:tcPr>
            <w:tcW w:w="8496" w:type="dxa"/>
          </w:tcPr>
          <w:p w14:paraId="577A3B28" w14:textId="77777777" w:rsidR="000A62D3" w:rsidRDefault="00000000">
            <w:r>
              <w:t xml:space="preserve">The third unit test checks whether an input can run a second SQL command, such as a drop table attempt. With a prepared statement and bound parameter, the entire malicious string is handled as one value. The database structure should remain unchanged. A follow-up query can verify that the table still </w:t>
            </w:r>
            <w:r>
              <w:lastRenderedPageBreak/>
              <w:t>exists after the test runs.</w:t>
            </w:r>
          </w:p>
        </w:tc>
      </w:tr>
      <w:tr w:rsidR="000A62D3" w14:paraId="67DB8915" w14:textId="77777777">
        <w:trPr>
          <w:jc w:val="center"/>
        </w:trPr>
        <w:tc>
          <w:tcPr>
            <w:tcW w:w="1584" w:type="dxa"/>
          </w:tcPr>
          <w:p w14:paraId="2F768E95" w14:textId="77777777" w:rsidR="000A62D3" w:rsidRDefault="00000000">
            <w:r>
              <w:lastRenderedPageBreak/>
              <w:t>12</w:t>
            </w:r>
          </w:p>
        </w:tc>
        <w:tc>
          <w:tcPr>
            <w:tcW w:w="8496" w:type="dxa"/>
          </w:tcPr>
          <w:p w14:paraId="7248A47F" w14:textId="77777777" w:rsidR="000A62D3" w:rsidRDefault="00000000">
            <w:r>
              <w:t>The fourth unit test checks blank or oversized input. This is a boundary and negative test because invalid data should be rejected before the database query executes. This supports both input validation and default deny. Additional tests can check maximum length, special characters, and null input so the application fails safely instead of relying on assumptions.</w:t>
            </w:r>
          </w:p>
        </w:tc>
      </w:tr>
      <w:tr w:rsidR="000A62D3" w14:paraId="6C40911E" w14:textId="77777777">
        <w:trPr>
          <w:jc w:val="center"/>
        </w:trPr>
        <w:tc>
          <w:tcPr>
            <w:tcW w:w="1584" w:type="dxa"/>
          </w:tcPr>
          <w:p w14:paraId="6C26C8A9" w14:textId="77777777" w:rsidR="000A62D3" w:rsidRDefault="00000000">
            <w:r>
              <w:t>13</w:t>
            </w:r>
          </w:p>
        </w:tc>
        <w:tc>
          <w:tcPr>
            <w:tcW w:w="8496" w:type="dxa"/>
          </w:tcPr>
          <w:p w14:paraId="26ECFA06" w14:textId="77777777" w:rsidR="000A62D3" w:rsidRDefault="00000000">
            <w:r>
              <w:t>Security automation should be built into every stage of the DevSecOps flow. During planning and design, the team identifies threats and security requirements. During development, compiler warnings and IDE analysis help catch defects early. During build and verification, static analysis and unit tests enforce the standards. In production, logging, monitoring, vulnerability scanning, and incident response help detect and respond to new threats.</w:t>
            </w:r>
          </w:p>
        </w:tc>
      </w:tr>
      <w:tr w:rsidR="000A62D3" w14:paraId="5414FB01" w14:textId="77777777">
        <w:trPr>
          <w:jc w:val="center"/>
        </w:trPr>
        <w:tc>
          <w:tcPr>
            <w:tcW w:w="1584" w:type="dxa"/>
          </w:tcPr>
          <w:p w14:paraId="040C1D0B" w14:textId="77777777" w:rsidR="000A62D3" w:rsidRDefault="00000000">
            <w:r>
              <w:t>14</w:t>
            </w:r>
          </w:p>
        </w:tc>
        <w:tc>
          <w:tcPr>
            <w:tcW w:w="8496" w:type="dxa"/>
          </w:tcPr>
          <w:p w14:paraId="5FC2ED43" w14:textId="77777777" w:rsidR="000A62D3" w:rsidRDefault="00000000">
            <w:r>
              <w:t>The tools support the pipeline by detecting different kinds of issues. Visual Studio compiler warnings and code analysis help catch unsafe conversions, pointer issues, and questionable logic. Cppcheck, SonarQube, and CodeQL support static analysis. AddressSanitizer and UBSan help detect runtime memory and integer problems during testing. Unit tests verify that the expected security behavior works repeatedly before release.</w:t>
            </w:r>
          </w:p>
        </w:tc>
      </w:tr>
      <w:tr w:rsidR="000A62D3" w14:paraId="55A7079E" w14:textId="77777777">
        <w:trPr>
          <w:jc w:val="center"/>
        </w:trPr>
        <w:tc>
          <w:tcPr>
            <w:tcW w:w="1584" w:type="dxa"/>
          </w:tcPr>
          <w:p w14:paraId="43EE4322" w14:textId="77777777" w:rsidR="000A62D3" w:rsidRDefault="00000000">
            <w:r>
              <w:t>15</w:t>
            </w:r>
          </w:p>
        </w:tc>
        <w:tc>
          <w:tcPr>
            <w:tcW w:w="8496" w:type="dxa"/>
          </w:tcPr>
          <w:p w14:paraId="26924D2A" w14:textId="77777777" w:rsidR="000A62D3" w:rsidRDefault="00000000">
            <w:r>
              <w:t>The main benefit of acting now is reducing the chance that serious vulnerabilities enter production. Fixing these issues early is usually easier than fixing them after release. If Green Pace waits, vulnerabilities may become harder to isolate and could lead to data exposure, unauthorized access, downtime, or loss of trust. The best approach is to address Level 5 and Level 4 issues first and require unresolved high-priority findings to be remediated before release.</w:t>
            </w:r>
          </w:p>
        </w:tc>
      </w:tr>
      <w:tr w:rsidR="000A62D3" w14:paraId="2F215D43" w14:textId="77777777">
        <w:trPr>
          <w:jc w:val="center"/>
        </w:trPr>
        <w:tc>
          <w:tcPr>
            <w:tcW w:w="1584" w:type="dxa"/>
          </w:tcPr>
          <w:p w14:paraId="03DC1D8E" w14:textId="77777777" w:rsidR="000A62D3" w:rsidRDefault="00000000">
            <w:r>
              <w:t>16</w:t>
            </w:r>
          </w:p>
        </w:tc>
        <w:tc>
          <w:tcPr>
            <w:tcW w:w="8496" w:type="dxa"/>
          </w:tcPr>
          <w:p w14:paraId="2E668C4E" w14:textId="77777777" w:rsidR="000A62D3" w:rsidRDefault="00000000">
            <w:r>
              <w:t>The current policy is strong, but there are still gaps that should be addressed. Green Pace should expand automated testing beyond SQL injection to include numeric boundaries, string lengths, pointer validation, memory ownership, and container bounds. The CI/CD pipeline should include security gates. Exceptions should require documented risk analysis and approval, and the policy should be reviewed annually or when major threats or compliance needs change.</w:t>
            </w:r>
          </w:p>
        </w:tc>
      </w:tr>
      <w:tr w:rsidR="000A62D3" w14:paraId="24451A5A" w14:textId="77777777">
        <w:trPr>
          <w:jc w:val="center"/>
        </w:trPr>
        <w:tc>
          <w:tcPr>
            <w:tcW w:w="1584" w:type="dxa"/>
          </w:tcPr>
          <w:p w14:paraId="2E038D69" w14:textId="77777777" w:rsidR="000A62D3" w:rsidRDefault="00000000">
            <w:r>
              <w:t>17</w:t>
            </w:r>
          </w:p>
        </w:tc>
        <w:tc>
          <w:tcPr>
            <w:tcW w:w="8496" w:type="dxa"/>
          </w:tcPr>
          <w:p w14:paraId="5954C637" w14:textId="77777777" w:rsidR="000A62D3" w:rsidRDefault="00000000">
            <w:r>
              <w:t>In conclusion, the secure development policy gives Green Pace a repeatable way to connect secure coding principles to daily development work. The policy should continue using SEI CERT C++ guidance as the baseline, OWASP guidance for web application risks, and NIST guidance for identity and authentication. Security should stay active through design, coding, testing, release, monitoring, and maintenance.</w:t>
            </w:r>
          </w:p>
        </w:tc>
      </w:tr>
      <w:tr w:rsidR="000A62D3" w14:paraId="23D64043" w14:textId="77777777">
        <w:trPr>
          <w:jc w:val="center"/>
        </w:trPr>
        <w:tc>
          <w:tcPr>
            <w:tcW w:w="1584" w:type="dxa"/>
          </w:tcPr>
          <w:p w14:paraId="0A10B787" w14:textId="77777777" w:rsidR="000A62D3" w:rsidRDefault="00000000">
            <w:r>
              <w:lastRenderedPageBreak/>
              <w:t>18</w:t>
            </w:r>
          </w:p>
        </w:tc>
        <w:tc>
          <w:tcPr>
            <w:tcW w:w="8496" w:type="dxa"/>
          </w:tcPr>
          <w:p w14:paraId="3E5D7ECC" w14:textId="77777777" w:rsidR="000A62D3" w:rsidRDefault="00000000">
            <w:r>
              <w:t>These are the references used to support the presentation, including the SEI CERT C++ Coding Standard, NIST digital identity guidance, OWASP Top 10 guidance, Cppcheck documentation, and Microsoft C/C++ code analysis documentation.</w:t>
            </w:r>
          </w:p>
        </w:tc>
      </w:tr>
    </w:tbl>
    <w:p w14:paraId="6D6C103F" w14:textId="77777777" w:rsidR="000A62D3" w:rsidRDefault="000A62D3"/>
    <w:p w14:paraId="65B82CC8" w14:textId="77777777" w:rsidR="000A62D3" w:rsidRDefault="00000000">
      <w:r>
        <w:rPr>
          <w:b/>
        </w:rPr>
        <w:t>References</w:t>
      </w:r>
    </w:p>
    <w:p w14:paraId="659AE413" w14:textId="77777777" w:rsidR="000A62D3" w:rsidRDefault="00000000">
      <w:pPr>
        <w:ind w:left="720" w:hanging="720"/>
      </w:pPr>
      <w:r>
        <w:t>Carnegie Mellon University Software Engineering Institute. (n.d.). SEI CERT C++ Coding Standard. https://cmu-sei.github.io/secure-coding-standards/sei-cert-cpp-coding-standard/</w:t>
      </w:r>
    </w:p>
    <w:p w14:paraId="022C8A91" w14:textId="77777777" w:rsidR="000A62D3" w:rsidRDefault="00000000">
      <w:pPr>
        <w:ind w:left="720" w:hanging="720"/>
      </w:pPr>
      <w:r>
        <w:t>National Institute of Standards and Technology. (2025). Digital Identity Guidelines: Authentication and authenticator management (SP 800-63B). https://pages.nist.gov/800-63-4/sp800-63b.html</w:t>
      </w:r>
    </w:p>
    <w:p w14:paraId="01CC921B" w14:textId="77777777" w:rsidR="000A62D3" w:rsidRDefault="00000000">
      <w:pPr>
        <w:ind w:left="720" w:hanging="720"/>
      </w:pPr>
      <w:r>
        <w:t>OWASP Foundation. (2025). OWASP Top 10. https://owasp.org/Top10/</w:t>
      </w:r>
    </w:p>
    <w:p w14:paraId="200DB67B" w14:textId="77777777" w:rsidR="000A62D3" w:rsidRDefault="00000000">
      <w:pPr>
        <w:ind w:left="720" w:hanging="720"/>
      </w:pPr>
      <w:r>
        <w:t>Cppcheck. (n.d.). Cppcheck manual. https://cppcheck.sourceforge.io/manual.pdf</w:t>
      </w:r>
    </w:p>
    <w:p w14:paraId="491E5EA6" w14:textId="77777777" w:rsidR="000A62D3" w:rsidRDefault="00000000">
      <w:pPr>
        <w:ind w:left="720" w:hanging="720"/>
      </w:pPr>
      <w:r>
        <w:t>Microsoft. (n.d.). Code analysis for C/C++ overview. https://learn.microsoft.com/en-us/cpp/code-quality/code-analysis-for-c-cpp-overview</w:t>
      </w:r>
    </w:p>
    <w:sectPr w:rsidR="000A62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19437">
    <w:abstractNumId w:val="8"/>
  </w:num>
  <w:num w:numId="2" w16cid:durableId="1579246051">
    <w:abstractNumId w:val="6"/>
  </w:num>
  <w:num w:numId="3" w16cid:durableId="644044939">
    <w:abstractNumId w:val="5"/>
  </w:num>
  <w:num w:numId="4" w16cid:durableId="1638991713">
    <w:abstractNumId w:val="4"/>
  </w:num>
  <w:num w:numId="5" w16cid:durableId="1032925426">
    <w:abstractNumId w:val="7"/>
  </w:num>
  <w:num w:numId="6" w16cid:durableId="855194831">
    <w:abstractNumId w:val="3"/>
  </w:num>
  <w:num w:numId="7" w16cid:durableId="1956859992">
    <w:abstractNumId w:val="2"/>
  </w:num>
  <w:num w:numId="8" w16cid:durableId="489299534">
    <w:abstractNumId w:val="1"/>
  </w:num>
  <w:num w:numId="9" w16cid:durableId="21751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D3"/>
    <w:rsid w:val="000D4098"/>
    <w:rsid w:val="0015074B"/>
    <w:rsid w:val="0029639D"/>
    <w:rsid w:val="00326F90"/>
    <w:rsid w:val="00421105"/>
    <w:rsid w:val="009F4BF3"/>
    <w:rsid w:val="00AA1D8D"/>
    <w:rsid w:val="00B47730"/>
    <w:rsid w:val="00CB0664"/>
    <w:rsid w:val="00E97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539DB"/>
  <w14:defaultImageDpi w14:val="300"/>
  <w15:docId w15:val="{0661614E-49F1-4E11-8550-7504F61E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Holy Name Church Of Jesus</cp:lastModifiedBy>
  <cp:revision>3</cp:revision>
  <dcterms:created xsi:type="dcterms:W3CDTF">2013-12-23T23:15:00Z</dcterms:created>
  <dcterms:modified xsi:type="dcterms:W3CDTF">2026-08-16T20:23:00Z</dcterms:modified>
  <cp:category/>
</cp:coreProperties>
</file>