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A1A1A"/>
          <w:sz w:val="56"/>
          <w:szCs w:val="56"/>
        </w:rPr>
        <w:t xml:space="preserve">МУЛЬТИВАЛЮТНАЯ</w:t>
      </w:r>
    </w:p>
    <w:p>
      <w:pPr>
        <w:spacing w:after="200"/>
        <w:jc w:val="center"/>
      </w:pPr>
      <w:r>
        <w:rPr>
          <w:b/>
          <w:bCs/>
          <w:color w:val="1A1A1A"/>
          <w:sz w:val="56"/>
          <w:szCs w:val="56"/>
        </w:rPr>
        <w:t xml:space="preserve">ТОРГОВАЯ СИСТЕМА</w:t>
      </w:r>
    </w:p>
    <w:p>
      <w:pPr>
        <w:pBdr>
          <w:bottom w:val="single" w:color="D4A017" w:sz="18" w:space="8"/>
        </w:pBd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Точки входа, выхода и мультитаймфрейм-логика для BTC, ETH, SOL, XRP и альткоинов</w:t>
      </w:r>
    </w:p>
    <w:p>
      <w:pPr>
        <w:spacing w:before="1200"/>
        <w:jc w:val="center"/>
      </w:pPr>
      <w:r>
        <w:rPr>
          <w:color w:val="666666"/>
          <w:sz w:val="20"/>
          <w:szCs w:val="20"/>
        </w:rPr>
        <w:t xml:space="preserve">Разработано на основе рыночной структуры август 2026</w:t>
      </w:r>
    </w:p>
    <w:p>
      <w:pPr>
        <w:spacing w:before="100"/>
        <w:jc w:val="center"/>
      </w:pPr>
      <w:r>
        <w:rPr>
          <w:i/>
          <w:iCs/>
          <w:color w:val="666666"/>
          <w:sz w:val="18"/>
          <w:szCs w:val="18"/>
        </w:rPr>
        <w:t xml:space="preserve">Личное методическое пособие — не является индивидуальной инвестиционной рекомендацией</w:t>
      </w:r>
    </w:p>
    <w:p>
      <w:r>
        <w:br w:type="page"/>
      </w:r>
    </w:p>
    <w:p>
      <w:pPr>
        <w:pStyle w:val="Heading1"/>
        <w:pBdr>
          <w:bottom w:val="single" w:color="D4A017" w:sz="6" w:space="4"/>
        </w:pBdr>
        <w:spacing w:after="200" w:before="400"/>
      </w:pPr>
      <w:r>
        <w:rPr>
          <w:b/>
          <w:bCs/>
          <w:color w:val="1A1A1A"/>
          <w:sz w:val="32"/>
          <w:szCs w:val="32"/>
        </w:rPr>
        <w:t xml:space="preserve">0. Принцип системы</w:t>
      </w:r>
    </w:p>
    <w:p>
      <w:pPr>
        <w:spacing w:after="140"/>
      </w:pPr>
      <w:r>
        <w:rPr>
          <w:sz w:val="21"/>
          <w:szCs w:val="21"/>
        </w:rPr>
        <w:t xml:space="preserve">Эта система не привязана к конкретной цене конкретной монеты в моменте — она описывает АЛГОРИТМ принятия решения о входе и выходе, применимый к любой ликвидной паре: BTC/USDT, ETH/USDT, SOL/USDT, XRP/USDT и топ-20 альткоинам по капитализации.</w:t>
      </w:r>
    </w:p>
    <w:p>
      <w:pPr>
        <w:spacing w:after="140"/>
      </w:pPr>
      <w:r>
        <w:rPr>
          <w:sz w:val="21"/>
          <w:szCs w:val="21"/>
        </w:rPr>
        <w:t xml:space="preserve">Ядро системы — три обязательных условия, которые должны совпасть ОДНОВРЕМЕННО. Если хотя бы одно отсутствует — сделки нет, независимо от того, насколько привлекательно выглядит график.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50"/>
      </w:tblGrid>
      <w:tr>
        <w:tc>
          <w:tcPr>
            <w:tcW w:type="dxa" w:w="14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Условие</w:t>
            </w:r>
          </w:p>
        </w:tc>
        <w:tc>
          <w:tcPr>
            <w:tcW w:type="dxa" w:w="795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проверяем</w:t>
            </w:r>
          </w:p>
        </w:tc>
      </w:tr>
      <w:tr>
        <w:tc>
          <w:tcPr>
            <w:tcW w:type="dxa" w:w="1400"/>
            <w:shd w:fill="FFF6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Структура рынка на старшем таймфрейме (тренд/диапазон) — определяет, какие паттерны вообще имеют смысл</w:t>
            </w:r>
          </w:p>
        </w:tc>
      </w:tr>
      <w:tr>
        <w:tc>
          <w:tcPr>
            <w:tcW w:type="dxa" w:w="1400"/>
            <w:shd w:fill="FFF6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Точка входа: свечной или графический паттерн + подтверждение объёмом на младшем таймфрейме</w:t>
            </w:r>
          </w:p>
        </w:tc>
      </w:tr>
      <w:tr>
        <w:tc>
          <w:tcPr>
            <w:tcW w:type="dxa" w:w="1400"/>
            <w:shd w:fill="FFF6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Фон: нет противоречащих макро-новостей/событий в ближайшие 24 часа (см. раздел 5)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D4A017" w:sz="6" w:space="4"/>
        </w:pBdr>
        <w:spacing w:after="200" w:before="400"/>
      </w:pPr>
      <w:r>
        <w:rPr>
          <w:b/>
          <w:bCs/>
          <w:color w:val="1A1A1A"/>
          <w:sz w:val="32"/>
          <w:szCs w:val="32"/>
        </w:rPr>
        <w:t xml:space="preserve">1. Мультитаймфреймовая структура входа</w:t>
      </w:r>
    </w:p>
    <w:p>
      <w:pPr>
        <w:spacing w:after="140"/>
      </w:pPr>
      <w:r>
        <w:rPr>
          <w:sz w:val="21"/>
          <w:szCs w:val="21"/>
        </w:rPr>
        <w:t xml:space="preserve">Каждая сделка проходит три уровня подтверждения. Это не занимает много времени (5-10 минут), но отсекает большинство ложных сигналов.</w:t>
      </w:r>
    </w:p>
    <w:p>
      <w:pPr>
        <w:pStyle w:val="Heading2"/>
        <w:spacing w:after="120" w:before="300"/>
      </w:pPr>
      <w:r>
        <w:rPr>
          <w:b/>
          <w:bCs/>
          <w:color w:val="1A1A1A"/>
          <w:sz w:val="26"/>
          <w:szCs w:val="26"/>
        </w:rPr>
        <w:t xml:space="preserve">Уровень 1 — Дневной график (1D): контекст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Определяем фазу рынка: восходящий тренд / нисходящий тренд / боковик (диапазон)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EMA 20/50/200 — если цена выше всех трёх и они расположены снизу вверх (20&gt;50&gt;200) — рынок бычий, работаем только от покупок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Если цена ниже всех EMA и они идут сверху вниз — рынок медвежий, работаем только от продаж или не торгуем вообще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Если EMA переплетены — боковик, работаем от границ диапазона (см. раздел 3)</w:t>
      </w:r>
    </w:p>
    <w:p>
      <w:pPr>
        <w:pStyle w:val="Heading2"/>
        <w:spacing w:after="120" w:before="300"/>
      </w:pPr>
      <w:r>
        <w:rPr>
          <w:b/>
          <w:bCs/>
          <w:color w:val="1A1A1A"/>
          <w:sz w:val="26"/>
          <w:szCs w:val="26"/>
        </w:rPr>
        <w:t xml:space="preserve">Уровень 2 — 4-часовой график (4H): паттерн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Здесь ищем конкретную фигуру: флаг, треугольник, двойное дно/вершина, голова-плечи (полный список — раздел 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Паттерн должен идти В НАПРАВЛЕНИИ тренда с дневного графика (по тренду — продолжение, против тренда — только разворотные паттерны с двойным подтверждением)</w:t>
      </w:r>
    </w:p>
    <w:p>
      <w:pPr>
        <w:pStyle w:val="Heading2"/>
        <w:spacing w:after="120" w:before="300"/>
      </w:pPr>
      <w:r>
        <w:rPr>
          <w:b/>
          <w:bCs/>
          <w:color w:val="1A1A1A"/>
          <w:sz w:val="26"/>
          <w:szCs w:val="26"/>
        </w:rPr>
        <w:t xml:space="preserve">Уровень 3 — 1-часовой график (1H): точный вход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Ищем свечной паттерн подтверждения на пробое/ретесте уровня, найденного на 4H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Объём на входной свече должен быть выше среднего за последние 20 свечей — это фильтр от ложных пробоев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Именно здесь выставляется точный стоп-лосс и рассчитывается размер позиции</w:t>
      </w:r>
    </w:p>
    <w:p>
      <w:pPr>
        <w:shd w:fill="FFF6DA" w:val="clear"/>
        <w:spacing w:after="100" w:before="100"/>
      </w:pPr>
      <w:r>
        <w:rPr>
          <w:b/>
          <w:bCs/>
          <w:color w:val="1A1A1A"/>
          <w:sz w:val="21"/>
          <w:szCs w:val="21"/>
        </w:rPr>
        <w:t xml:space="preserve">Правило: если хотя бы один уровень не подтверждает направление — сделка не открывается. Три «зелёных света» обязательны.</w:t>
      </w:r>
    </w:p>
    <w:p>
      <w:pPr>
        <w:pStyle w:val="Heading1"/>
        <w:pBdr>
          <w:bottom w:val="single" w:color="D4A017" w:sz="6" w:space="4"/>
        </w:pBdr>
        <w:spacing w:after="200" w:before="400"/>
      </w:pPr>
      <w:r>
        <w:rPr>
          <w:b/>
          <w:bCs/>
          <w:color w:val="1A1A1A"/>
          <w:sz w:val="32"/>
          <w:szCs w:val="32"/>
        </w:rPr>
        <w:t xml:space="preserve">2. Главное правило входа: не покупай на пробое — жди ретест</w:t>
      </w:r>
    </w:p>
    <w:p>
      <w:pPr>
        <w:spacing w:after="140"/>
      </w:pPr>
      <w:r>
        <w:rPr>
          <w:sz w:val="21"/>
          <w:szCs w:val="21"/>
        </w:rPr>
        <w:t xml:space="preserve">Самая частая ошибка — покупка/продажа в момент пробоя уровня (декольте, границы треугольника, линии тренда). Такие сделки статистически чаще проваливаются на ложных пробоях, особенно на альткоинах с низкой ликвидностью.</w:t>
      </w:r>
    </w:p>
    <w:p>
      <w:pPr>
        <w:spacing w:after="80" w:before="200"/>
      </w:pPr>
      <w:r>
        <w:rPr>
          <w:b/>
          <w:bCs/>
          <w:color w:val="1A1A1A"/>
          <w:sz w:val="22"/>
          <w:szCs w:val="22"/>
        </w:rPr>
        <w:t xml:space="preserve">Алгоритм для лонга: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Цена пробивает ключевой уровень сопротивления/декольте паттерна с объёмом выше среднего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НЕ ВХОДИМ. Ждём возврата цены к пробитому уровню (он становится поддержкой)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На ретесте ждём бычью свечу (молот, бычье поглощение, длинная нижняя тень) — это подтверждение, что уровень удержан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Вход — на закрытии этой подтверждающей свечи или на открытии следующей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Стоп — под минимум ретеста, с запасом в 0,5–1 ATR(14)</w:t>
      </w:r>
    </w:p>
    <w:p>
      <w:pPr>
        <w:spacing w:after="80" w:before="200"/>
      </w:pPr>
      <w:r>
        <w:rPr>
          <w:b/>
          <w:bCs/>
          <w:color w:val="1A1A1A"/>
          <w:sz w:val="22"/>
          <w:szCs w:val="22"/>
        </w:rPr>
        <w:t xml:space="preserve">Алгоритм для шорта — зеркально: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Цена пробивает поддержку/декольте вниз с объёмом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Ждём возврата к уровню снизу (бывшая поддержка становится сопротивлением)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Ждём медвежью свечу подтверждения (падающая звезда, медвежье поглощение)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Вход на закрытии этой свечи, стоп — над максимумом ретеста + 0,5–1 ATR</w:t>
      </w:r>
    </w:p>
    <w:p>
      <w:pPr>
        <w:pStyle w:val="Heading1"/>
        <w:pBdr>
          <w:bottom w:val="single" w:color="D4A017" w:sz="6" w:space="4"/>
        </w:pBdr>
        <w:spacing w:after="200" w:before="400"/>
      </w:pPr>
      <w:r>
        <w:rPr>
          <w:b/>
          <w:bCs/>
          <w:color w:val="1A1A1A"/>
          <w:sz w:val="32"/>
          <w:szCs w:val="32"/>
        </w:rPr>
        <w:t xml:space="preserve">3. Свечные паттерны: на что смотреть</w:t>
      </w:r>
    </w:p>
    <w:p>
      <w:pPr>
        <w:spacing w:after="140"/>
      </w:pPr>
      <w:r>
        <w:rPr>
          <w:sz w:val="21"/>
          <w:szCs w:val="21"/>
        </w:rPr>
        <w:t xml:space="preserve">Используются только как подтверждение в точке входа (Уровень 3), никогда как самостоятельный сигнал.</w:t>
      </w:r>
    </w:p>
    <w:p>
      <w:pPr>
        <w:pStyle w:val="Heading2"/>
        <w:spacing w:after="120" w:before="300"/>
      </w:pPr>
      <w:r>
        <w:rPr>
          <w:b/>
          <w:bCs/>
          <w:color w:val="1B7A3D"/>
          <w:sz w:val="26"/>
          <w:szCs w:val="26"/>
        </w:rPr>
        <w:t xml:space="preserve">Бычьи (сигнал для лонга)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1B7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Паттерн</w:t>
            </w:r>
          </w:p>
        </w:tc>
        <w:tc>
          <w:tcPr>
            <w:tcW w:type="dxa" w:w="7150"/>
            <w:shd w:fill="1B7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Где искать / что означает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Молот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На поддержке, после снижения. Длинная нижняя тень, маленькое тело сверху. Ждём подтверждения следующей зелёной свечой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Бычье поглощение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Красная свеча полностью перекрыта следующей зелёной. Чем больше объём второй свечи — тем сильнее сигнал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Утренняя звезда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 свечи: длинная красная → маленькая (нерешительность) → длинная зелёная. Разворот на дне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Три белых солдата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 зелёные свечи подряд, каждая закрывается выше предыдущей. Сильный сигнал продолжения роста, желательно подтверждать RSI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b/>
          <w:bCs/>
          <w:color w:val="B0271E"/>
          <w:sz w:val="26"/>
          <w:szCs w:val="26"/>
        </w:rPr>
        <w:t xml:space="preserve">Медвежьи (сигнал для шорта)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B0271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Паттерн</w:t>
            </w:r>
          </w:p>
        </w:tc>
        <w:tc>
          <w:tcPr>
            <w:tcW w:type="dxa" w:w="7150"/>
            <w:shd w:fill="B0271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Где искать / что означает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Повешенный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На вершине после роста. Маленькое тело, длинная нижняя тень. Сигнал ослабления покупателей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Падающая звезда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Маленькое тело, длинная верхняя тень, на вершине тренда. Продавцы отбили попытку роста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Медвежье поглощение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Зелёная свеча полностью перекрыта следующей красной на пике роста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Вечерняя звезда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Зеркало утренней звезды: длинная зелёная → маленькая → длинная красная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Три чёрные вороны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 красные свечи подряд с почти отсутствующими тенями — мощный медвежий импульс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b/>
          <w:bCs/>
          <w:color w:val="666666"/>
          <w:sz w:val="26"/>
          <w:szCs w:val="26"/>
        </w:rPr>
        <w:t xml:space="preserve">Нейтральные (сигнал неопределённости — ждём)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Доджи — тело почти отсутствует. Не входим сразу, ждём 1-2 свечи для прояснения направления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Волчок — маленькое тело, тени равной длины. Признак консолидации/паузы перед движением</w:t>
      </w:r>
    </w:p>
    <w:p>
      <w:r>
        <w:br w:type="page"/>
      </w:r>
    </w:p>
    <w:p>
      <w:pPr>
        <w:pStyle w:val="Heading1"/>
        <w:pBdr>
          <w:bottom w:val="single" w:color="D4A017" w:sz="6" w:space="4"/>
        </w:pBdr>
        <w:spacing w:after="200" w:before="400"/>
      </w:pPr>
      <w:r>
        <w:rPr>
          <w:b/>
          <w:bCs/>
          <w:color w:val="1A1A1A"/>
          <w:sz w:val="32"/>
          <w:szCs w:val="32"/>
        </w:rPr>
        <w:t xml:space="preserve">4. Графические паттерны (уровень 4H)</w:t>
      </w:r>
    </w:p>
    <w:p>
      <w:pPr>
        <w:pStyle w:val="Heading2"/>
        <w:spacing w:after="120" w:before="300"/>
      </w:pPr>
      <w:r>
        <w:rPr>
          <w:b/>
          <w:bCs/>
          <w:color w:val="1A1A1A"/>
          <w:sz w:val="26"/>
          <w:szCs w:val="26"/>
        </w:rPr>
        <w:t xml:space="preserve">Продолжение тренда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Флаг (бычий/медвежий) — узкий канал против направления импульса после резкого движения. Вход — на пробое канала в сторону тренда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Треугольник (симметричный/восходящий/нисходящий) — сужающийся диапазон. Вход по правилу ретеста из раздела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Вымпел (Pennant) — похож на треугольник, но после очень резкого импульса. Логика входа идентична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Прямоугольник (Rectangle) — консолидация в канале, вход на пробое границы с ретестом</w:t>
      </w:r>
    </w:p>
    <w:p>
      <w:pPr>
        <w:pStyle w:val="Heading2"/>
        <w:spacing w:after="120" w:before="300"/>
      </w:pPr>
      <w:r>
        <w:rPr>
          <w:b/>
          <w:bCs/>
          <w:color w:val="1A1A1A"/>
          <w:sz w:val="26"/>
          <w:szCs w:val="26"/>
        </w:rPr>
        <w:t xml:space="preserve">Разворотные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Голова и плечи / перевёрнутая голова и плечи — классический разворотный паттерн. Цель движения = высота головы от линии декольте, отложенная от точки пробоя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Двойная/тройная вершина или дно — цена дважды/трижды отбивается от уровня. Подтверждение — пробой decольте (линии между экстремумами) с ретестом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Расширяющийся треугольник (Diamond) — признак истощения тренда, часто предшествует развороту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Клин (Rising/Falling Wedge) — сужающийся канал ПО направлению тренда, обычно завершается разворотом против него</w:t>
      </w:r>
    </w:p>
    <w:p>
      <w:pPr>
        <w:pStyle w:val="Heading2"/>
        <w:spacing w:after="120" w:before="300"/>
      </w:pPr>
      <w:r>
        <w:rPr>
          <w:b/>
          <w:bCs/>
          <w:color w:val="1A1A1A"/>
          <w:sz w:val="26"/>
          <w:szCs w:val="26"/>
        </w:rPr>
        <w:t xml:space="preserve">Долгосрочные (для позиционных сделок)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Чаша с ручкой (Cup &amp; Handle) — длительная база с плавным дном, затем короткая консолидация у сопротивления перед пробоем вверх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Округлая вершина/дно (Rounding Top/Bottom) — медленный разворот тренда на больших таймфреймах (1D-1W)</w:t>
      </w:r>
    </w:p>
    <w:p>
      <w:pPr>
        <w:pStyle w:val="Heading1"/>
        <w:pBdr>
          <w:bottom w:val="single" w:color="D4A017" w:sz="6" w:space="4"/>
        </w:pBdr>
        <w:spacing w:after="200" w:before="400"/>
      </w:pPr>
      <w:r>
        <w:rPr>
          <w:b/>
          <w:bCs/>
          <w:color w:val="1A1A1A"/>
          <w:sz w:val="32"/>
          <w:szCs w:val="32"/>
        </w:rPr>
        <w:t xml:space="preserve">5. Новостной и макро-фон — что проверять перед входом</w:t>
      </w:r>
    </w:p>
    <w:p>
      <w:pPr>
        <w:spacing w:after="140"/>
      </w:pPr>
      <w:r>
        <w:rPr>
          <w:sz w:val="21"/>
          <w:szCs w:val="21"/>
        </w:rPr>
        <w:t xml:space="preserve">Технический паттерн может быть идеальным, но фундаментальный фон способен его полностью перечеркнуть. Проверка занимает 5 минут перед каждой сделкой.</w:t>
      </w:r>
    </w:p>
    <w:p>
      <w:pPr>
        <w:spacing w:after="80" w:before="200"/>
      </w:pPr>
      <w:r>
        <w:rPr>
          <w:b/>
          <w:bCs/>
          <w:color w:val="1A1A1A"/>
          <w:sz w:val="22"/>
          <w:szCs w:val="22"/>
        </w:rPr>
        <w:t xml:space="preserve">Обязательный чек-лист перед входом: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Календарь макроэкономики США: заседания ФРС, данные по инфляции (CPI/PCE), решения по ставке — за 24-48 часов до таких событий снижаем размер позиции вдвое или не входим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Потоки спотовых ETF на BTC/ETH (данные по чистому притоку/оттоку за последние 3-5 дней) — устойчивый приток подтверждает бычий тренд, отток — предупреждение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Доминация BTC (BTC.D) — если растёт, альткоины обычно слабее BTC; если падает — сезон альткоинов, там выше потенциал, но и выше риск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Открытый интерес и funding rate по фьючерсам — резко положительный funding = рынок перегрет лонгами, риск шорт-сквиза или коррекции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Крупные разблокировки токенов (unlock) и события конкретного проекта — актуально для альткоинов, обычно есть на сайтах вроде CoinMarketCal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Регуляторные новости (США, ЕС) — законодательные инициативы могут двигать рынок сильнее любого технического паттерна</w:t>
      </w:r>
    </w:p>
    <w:p>
      <w:pPr>
        <w:shd w:fill="FFF6DA" w:val="clear"/>
        <w:spacing w:after="100" w:before="100"/>
      </w:pPr>
      <w:r>
        <w:rPr>
          <w:b/>
          <w:bCs/>
          <w:color w:val="1A1A1A"/>
          <w:sz w:val="21"/>
          <w:szCs w:val="21"/>
        </w:rPr>
        <w:t xml:space="preserve">Правило: сильная новость против направления паттерна = сделка отменяется, даже если технически всё идеально.</w:t>
      </w:r>
    </w:p>
    <w:p>
      <w:r>
        <w:br w:type="page"/>
      </w:r>
    </w:p>
    <w:p>
      <w:pPr>
        <w:pStyle w:val="Heading1"/>
        <w:pBdr>
          <w:bottom w:val="single" w:color="D4A017" w:sz="6" w:space="4"/>
        </w:pBdr>
        <w:spacing w:after="200" w:before="400"/>
      </w:pPr>
      <w:r>
        <w:rPr>
          <w:b/>
          <w:bCs/>
          <w:color w:val="1A1A1A"/>
          <w:sz w:val="32"/>
          <w:szCs w:val="32"/>
        </w:rPr>
        <w:t xml:space="preserve">6. Особенности работы по разным монетам и парам</w:t>
      </w:r>
    </w:p>
    <w:p>
      <w:pPr>
        <w:spacing w:after="140"/>
      </w:pPr>
      <w:r>
        <w:rPr>
          <w:sz w:val="21"/>
          <w:szCs w:val="21"/>
        </w:rPr>
        <w:t xml:space="preserve">Одна и та же система применяется ко всем парам, но с поправкой на характер конкретного актива.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5250"/>
      </w:tblGrid>
      <w:tr>
        <w:tc>
          <w:tcPr>
            <w:tcW w:type="dxa" w:w="15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Актив</w:t>
            </w:r>
          </w:p>
        </w:tc>
        <w:tc>
          <w:tcPr>
            <w:tcW w:type="dxa" w:w="26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Характер</w:t>
            </w:r>
          </w:p>
        </w:tc>
        <w:tc>
          <w:tcPr>
            <w:tcW w:type="dxa" w:w="525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Поправка к системе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BTC/USDT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Задаёт направление всему рынку</w:t>
            </w:r>
          </w:p>
        </w:tc>
        <w:tc>
          <w:tcPr>
            <w:tcW w:type="dxa" w:w="5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Торгуем в первую очередь; альткоины сверяем с трендом BTC перед входом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ETH/USDT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Высокая корреляция с BTC, но более резкие движения (выше бета)</w:t>
            </w:r>
          </w:p>
        </w:tc>
        <w:tc>
          <w:tcPr>
            <w:tcW w:type="dxa" w:w="5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Стопы шире на 20-30% относительно BTC из-за большей волатильности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SOL/USDT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Крупный альткоин, сильно зависит от общего аппетита к риску</w:t>
            </w:r>
          </w:p>
        </w:tc>
        <w:tc>
          <w:tcPr>
            <w:tcW w:type="dxa" w:w="5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Входим только при подтверждённом бычьем тренде BTC/ETH и растущей BTC.D-нейтральности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XRP/USDT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Сильно реагирует на регуляторные новости (США)</w:t>
            </w:r>
          </w:p>
        </w:tc>
        <w:tc>
          <w:tcPr>
            <w:tcW w:type="dxa" w:w="5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Обязательно проверять новостной фон по разделу 5 — движения часто новостные, а не технические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Альткоины (топ-20-100)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Низкая ликвидность, широкие спреды, частые ложные пробои</w:t>
            </w:r>
          </w:p>
        </w:tc>
        <w:tc>
          <w:tcPr>
            <w:tcW w:type="dxa" w:w="5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Риск на сделку снижаем до 0,3-0,5%; обязателен ретест перед входом; избегаем в дни низкого объёма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sz w:val="21"/>
          <w:szCs w:val="21"/>
        </w:rPr>
        <w:t xml:space="preserve">Общее правило корреляции: если BTC в нисходящем тренде на дневном графике — не открываем лонги по альткоинам, даже если локальный паттерн на альткоине выглядит бычьим. Альткоины падают быстрее и глубже BTC при развороте рынка.</w:t>
      </w:r>
    </w:p>
    <w:p>
      <w:pPr>
        <w:pStyle w:val="Heading1"/>
        <w:pBdr>
          <w:bottom w:val="single" w:color="D4A017" w:sz="6" w:space="4"/>
        </w:pBdr>
        <w:spacing w:after="200" w:before="400"/>
      </w:pPr>
      <w:r>
        <w:rPr>
          <w:b/>
          <w:bCs/>
          <w:color w:val="1A1A1A"/>
          <w:sz w:val="32"/>
          <w:szCs w:val="32"/>
        </w:rPr>
        <w:t xml:space="preserve">7. Риск-менеджмент (единый для всех пар)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50"/>
      </w:tblGrid>
      <w:tr>
        <w:tc>
          <w:tcPr>
            <w:tcW w:type="dxa" w:w="35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585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Правило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Риск на сделку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0,5–1% от депозита для BTC/ETH; 0,3–0,5% для альткоинов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Соотношение риск/прибыль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Минимум 1:2, вход только если потенциальная цель это позволяет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Стоп-лосс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Всегда на основе структуры (за уровнем/ATR), никогда не «на глаз»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Плечо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Максимум ×2-3 для BTC/ETH, для альткоинов — без плеча или ×1-2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Фиксация прибыли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50% объёма на первой цели, перевод стопа в безубыток, остаток — трейлинг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Дневной лимит потерь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-3% от депозита за день — стоп торговли до следующего дня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Число одновременных позиций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Не более 3, и не более 1 на высококоррелированные активы (BTC+ETH считать как одну экспозицию по риску)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6" w:space="4"/>
        </w:pBdr>
        <w:spacing w:after="200" w:before="400"/>
      </w:pPr>
      <w:r>
        <w:rPr>
          <w:b/>
          <w:bCs/>
          <w:color w:val="1A1A1A"/>
          <w:sz w:val="32"/>
          <w:szCs w:val="32"/>
        </w:rPr>
        <w:t xml:space="preserve">8. Итоговый чек-лист перед каждой сделкой</w:t>
      </w:r>
    </w:p>
    <w:p>
      <w:pPr>
        <w:spacing w:after="140"/>
      </w:pPr>
      <w:r>
        <w:rPr>
          <w:sz w:val="21"/>
          <w:szCs w:val="21"/>
        </w:rPr>
        <w:t xml:space="preserve">Распечатать или держать открытым при каждом входе. Если хотя бы один пункт не выполнен — сделки нет.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Определена фаза рынка на 1D (тренд вверх/вниз/боковик) по EMA 20/50/200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На 4H есть чёткий графический паттерн, соответствующий фазе рынка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Дождались ПРОБОЯ уровня с объёмом выше среднего — не входим на самом пробое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Дождались РЕТЕСТА пробитого уровня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На 1H есть свечное подтверждение (из раздела 3) на ретесте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Проверен новостной календарь на ближайшие 24-48 часов — нет противоречащих событий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Для альткоинов — сверено направление с трендом BTC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Рассчитан размер позиции под риск 0,3-1% от депозита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Стоп-лосс выставлен по структуре (за уровень/ATR), R/R не хуже 1:2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План фиксации прибыли определён заранее (частичная + трейлинг)</w:t>
      </w:r>
    </w:p>
    <w:p>
      <w:pPr>
        <w:spacing w:before="300"/>
      </w:pPr>
    </w:p>
    <w:p>
      <w:pPr>
        <w:shd w:fill="FFF6DA" w:val="clear"/>
        <w:spacing w:after="100" w:before="100"/>
      </w:pPr>
      <w:r>
        <w:rPr>
          <w:b/>
          <w:bCs/>
          <w:color w:val="1A1A1A"/>
          <w:sz w:val="21"/>
          <w:szCs w:val="21"/>
        </w:rPr>
        <w:t xml:space="preserve">Только когда все 10 пунктов отмечены — сделка открывается. Ведение журнала каждой сделки (причина входа, риск, результат) обязательно для последующего анализа эффективности системы.</w:t>
      </w:r>
    </w:p>
    <w:p>
      <w:pPr>
        <w:spacing w:before="400"/>
      </w:pPr>
      <w:r>
        <w:rPr>
          <w:i/>
          <w:iCs/>
          <w:color w:val="666666"/>
          <w:sz w:val="18"/>
          <w:szCs w:val="18"/>
        </w:rPr>
        <w:t xml:space="preserve">Это методическое пособие описывает подход к анализу и управлению риском и не гарантирует прибыль. Криптовалютный рынок высоковолатилен — торгуйте только капиталом, потерю которого можете себе позволить.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–"/>
      <w:lvlJc w:val="left"/>
      <w:pPr>
        <w:ind w:left="7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2026-08-22T19:06:36.930Z</dcterms:created>
  <dcterms:modified xsi:type="dcterms:W3CDTF">2026-08-22T19:06:36.942Z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