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b w:val="1"/>
          <w:u w:val="single"/>
        </w:rPr>
      </w:pPr>
      <w:r w:rsidDel="00000000" w:rsidR="00000000" w:rsidRPr="00000000">
        <w:rPr>
          <w:b w:val="1"/>
          <w:u w:val="single"/>
          <w:rtl w:val="0"/>
        </w:rPr>
        <w:t xml:space="preserve">Please detail your experience implementing and/or adapting inter-network connectivity and traffic, including IPSec tunnels and Oracle FastConnect</w:t>
      </w:r>
      <w:r w:rsidDel="00000000" w:rsidR="00000000" w:rsidRPr="00000000">
        <w:rPr>
          <w:rtl w:val="0"/>
        </w:rPr>
      </w:r>
    </w:p>
    <w:p w:rsidR="00000000" w:rsidDel="00000000" w:rsidP="00000000" w:rsidRDefault="00000000" w:rsidRPr="00000000" w14:paraId="00000002">
      <w:pPr>
        <w:spacing w:after="200" w:line="276" w:lineRule="auto"/>
        <w:rPr>
          <w:b w:val="1"/>
          <w:u w:val="single"/>
        </w:rPr>
      </w:pPr>
      <w:r w:rsidDel="00000000" w:rsidR="00000000" w:rsidRPr="00000000">
        <w:rPr>
          <w:rtl w:val="0"/>
        </w:rPr>
      </w:r>
    </w:p>
    <w:p w:rsidR="00000000" w:rsidDel="00000000" w:rsidP="00000000" w:rsidRDefault="00000000" w:rsidRPr="00000000" w14:paraId="00000003">
      <w:pPr>
        <w:spacing w:after="200" w:line="276" w:lineRule="auto"/>
        <w:rPr>
          <w:color w:val="ff0000"/>
        </w:rPr>
      </w:pPr>
      <w:r w:rsidDel="00000000" w:rsidR="00000000" w:rsidRPr="00000000">
        <w:rPr>
          <w:rtl w:val="0"/>
        </w:rPr>
      </w:r>
    </w:p>
    <w:p w:rsidR="00000000" w:rsidDel="00000000" w:rsidP="00000000" w:rsidRDefault="00000000" w:rsidRPr="00000000" w14:paraId="00000004">
      <w:pPr>
        <w:spacing w:after="200" w:line="276" w:lineRule="auto"/>
        <w:jc w:val="both"/>
        <w:rPr/>
      </w:pPr>
      <w:r w:rsidDel="00000000" w:rsidR="00000000" w:rsidRPr="00000000">
        <w:rPr>
          <w:rtl w:val="0"/>
        </w:rPr>
        <w:t xml:space="preserve">Oracle FastConnect is our preferred connectivity/transfer delivery system of choice when working with on-prem to OCI solutions.  It dedicated network service provided by Oracle allows organisations to establish high-speed, private, and reliable connections between their on-premises data centres or network environments and Oracle Cloud Infrastructure (OCI) data centres. It is the market leader in  facilitating direct and secure communication between your existing network infrastructure and Oracle's cloud services, which can be particularly important for enterprises that require low-latency and high-bandwidth connections to the cloud.</w:t>
      </w:r>
    </w:p>
    <w:p w:rsidR="00000000" w:rsidDel="00000000" w:rsidP="00000000" w:rsidRDefault="00000000" w:rsidRPr="00000000" w14:paraId="00000005">
      <w:pPr>
        <w:spacing w:after="200" w:line="276" w:lineRule="auto"/>
        <w:rPr/>
      </w:pPr>
      <w:r w:rsidDel="00000000" w:rsidR="00000000" w:rsidRPr="00000000">
        <w:rPr>
          <w:rtl w:val="0"/>
        </w:rPr>
        <w:t xml:space="preserve">Key features and benefits of Oracle FastConnect include:</w:t>
      </w:r>
    </w:p>
    <w:p w:rsidR="00000000" w:rsidDel="00000000" w:rsidP="00000000" w:rsidRDefault="00000000" w:rsidRPr="00000000" w14:paraId="00000006">
      <w:pPr>
        <w:numPr>
          <w:ilvl w:val="0"/>
          <w:numId w:val="1"/>
        </w:numPr>
        <w:spacing w:after="0" w:afterAutospacing="0" w:line="276" w:lineRule="auto"/>
        <w:ind w:left="720" w:hanging="360"/>
        <w:rPr>
          <w:u w:val="none"/>
        </w:rPr>
      </w:pPr>
      <w:r w:rsidDel="00000000" w:rsidR="00000000" w:rsidRPr="00000000">
        <w:rPr>
          <w:rtl w:val="0"/>
        </w:rPr>
        <w:t xml:space="preserve">Dedicated Connectivity</w:t>
      </w:r>
    </w:p>
    <w:p w:rsidR="00000000" w:rsidDel="00000000" w:rsidP="00000000" w:rsidRDefault="00000000" w:rsidRPr="00000000" w14:paraId="00000007">
      <w:pPr>
        <w:numPr>
          <w:ilvl w:val="0"/>
          <w:numId w:val="1"/>
        </w:numPr>
        <w:spacing w:after="0" w:afterAutospacing="0" w:line="276" w:lineRule="auto"/>
        <w:ind w:left="720" w:hanging="360"/>
        <w:rPr>
          <w:u w:val="none"/>
        </w:rPr>
      </w:pPr>
      <w:r w:rsidDel="00000000" w:rsidR="00000000" w:rsidRPr="00000000">
        <w:rPr>
          <w:rtl w:val="0"/>
        </w:rPr>
        <w:t xml:space="preserve">Predictable Performance</w:t>
      </w:r>
    </w:p>
    <w:p w:rsidR="00000000" w:rsidDel="00000000" w:rsidP="00000000" w:rsidRDefault="00000000" w:rsidRPr="00000000" w14:paraId="00000008">
      <w:pPr>
        <w:numPr>
          <w:ilvl w:val="0"/>
          <w:numId w:val="1"/>
        </w:numPr>
        <w:spacing w:after="0" w:afterAutospacing="0" w:line="276" w:lineRule="auto"/>
        <w:ind w:left="720" w:hanging="360"/>
        <w:rPr>
          <w:u w:val="none"/>
        </w:rPr>
      </w:pPr>
      <w:r w:rsidDel="00000000" w:rsidR="00000000" w:rsidRPr="00000000">
        <w:rPr>
          <w:rtl w:val="0"/>
        </w:rPr>
        <w:t xml:space="preserve">Enhanced Security</w:t>
      </w:r>
    </w:p>
    <w:p w:rsidR="00000000" w:rsidDel="00000000" w:rsidP="00000000" w:rsidRDefault="00000000" w:rsidRPr="00000000" w14:paraId="00000009">
      <w:pPr>
        <w:numPr>
          <w:ilvl w:val="0"/>
          <w:numId w:val="1"/>
        </w:numPr>
        <w:spacing w:after="0" w:afterAutospacing="0" w:line="276" w:lineRule="auto"/>
        <w:ind w:left="720" w:hanging="360"/>
        <w:rPr>
          <w:u w:val="none"/>
        </w:rPr>
      </w:pPr>
      <w:r w:rsidDel="00000000" w:rsidR="00000000" w:rsidRPr="00000000">
        <w:rPr>
          <w:rtl w:val="0"/>
        </w:rPr>
        <w:t xml:space="preserve">Cost Efficiency</w:t>
      </w:r>
    </w:p>
    <w:p w:rsidR="00000000" w:rsidDel="00000000" w:rsidP="00000000" w:rsidRDefault="00000000" w:rsidRPr="00000000" w14:paraId="0000000A">
      <w:pPr>
        <w:numPr>
          <w:ilvl w:val="0"/>
          <w:numId w:val="1"/>
        </w:numPr>
        <w:spacing w:after="0" w:afterAutospacing="0" w:line="276" w:lineRule="auto"/>
        <w:ind w:left="720" w:hanging="360"/>
        <w:rPr>
          <w:u w:val="none"/>
        </w:rPr>
      </w:pPr>
      <w:r w:rsidDel="00000000" w:rsidR="00000000" w:rsidRPr="00000000">
        <w:rPr>
          <w:rtl w:val="0"/>
        </w:rPr>
        <w:t xml:space="preserve">Redundancy and Failover</w:t>
      </w:r>
    </w:p>
    <w:p w:rsidR="00000000" w:rsidDel="00000000" w:rsidP="00000000" w:rsidRDefault="00000000" w:rsidRPr="00000000" w14:paraId="0000000B">
      <w:pPr>
        <w:numPr>
          <w:ilvl w:val="0"/>
          <w:numId w:val="1"/>
        </w:numPr>
        <w:spacing w:after="200" w:line="276" w:lineRule="auto"/>
        <w:ind w:left="720" w:hanging="360"/>
        <w:rPr>
          <w:u w:val="none"/>
        </w:rPr>
      </w:pPr>
      <w:r w:rsidDel="00000000" w:rsidR="00000000" w:rsidRPr="00000000">
        <w:rPr>
          <w:rtl w:val="0"/>
        </w:rPr>
        <w:t xml:space="preserve">Multiple Locations</w:t>
      </w:r>
    </w:p>
    <w:p w:rsidR="00000000" w:rsidDel="00000000" w:rsidP="00000000" w:rsidRDefault="00000000" w:rsidRPr="00000000" w14:paraId="0000000C">
      <w:pPr>
        <w:spacing w:after="200" w:line="276" w:lineRule="auto"/>
        <w:rPr>
          <w:color w:val="ff0000"/>
        </w:rPr>
      </w:pPr>
      <w:r w:rsidDel="00000000" w:rsidR="00000000" w:rsidRPr="00000000">
        <w:rPr>
          <w:rtl w:val="0"/>
        </w:rPr>
      </w:r>
    </w:p>
    <w:p w:rsidR="00000000" w:rsidDel="00000000" w:rsidP="00000000" w:rsidRDefault="00000000" w:rsidRPr="00000000" w14:paraId="0000000D">
      <w:pPr>
        <w:spacing w:after="200" w:line="276" w:lineRule="auto"/>
        <w:rPr/>
      </w:pPr>
      <w:r w:rsidDel="00000000" w:rsidR="00000000" w:rsidRPr="00000000">
        <w:rPr>
          <w:rtl w:val="0"/>
        </w:rPr>
        <w:t xml:space="preserve">We have extensive experience designing, establishing and maintaining inter-networking connectivity. This can take many forms depending on the customer requirements. We have done this at scale and with customers in numerous industries. Examples of these and context around scale can be found in the case studies at the bottom of this document. These would also include government, public sector and branches of the armed forces. This has also been achieved on numerous combinations of technologies including but not limited to OCI, Azure, GCP, AWS, IBM clouds and all the main physical hardware vendors (Palo Alto, Cisco, Checkpoint etc). </w:t>
      </w:r>
    </w:p>
    <w:p w:rsidR="00000000" w:rsidDel="00000000" w:rsidP="00000000" w:rsidRDefault="00000000" w:rsidRPr="00000000" w14:paraId="0000000E">
      <w:pPr>
        <w:spacing w:after="200" w:line="276" w:lineRule="auto"/>
        <w:rPr/>
        <w:sectPr>
          <w:pgSz w:h="15840" w:w="12240" w:orient="portrait"/>
          <w:pgMar w:bottom="1440" w:top="1440" w:left="1440" w:right="1440" w:header="720" w:footer="720"/>
          <w:pgNumType w:start="1"/>
        </w:sectPr>
      </w:pPr>
      <w:r w:rsidDel="00000000" w:rsidR="00000000" w:rsidRPr="00000000">
        <w:rPr>
          <w:rtl w:val="0"/>
        </w:rPr>
        <w:t xml:space="preserve">We strive to find a balance between performance and security while taking into consideration the following factors:  </w:t>
      </w:r>
    </w:p>
    <w:p w:rsidR="00000000" w:rsidDel="00000000" w:rsidP="00000000" w:rsidRDefault="00000000" w:rsidRPr="00000000" w14:paraId="0000000F">
      <w:pPr>
        <w:numPr>
          <w:ilvl w:val="0"/>
          <w:numId w:val="2"/>
        </w:numPr>
        <w:spacing w:after="0" w:afterAutospacing="0" w:line="276" w:lineRule="auto"/>
        <w:ind w:left="720" w:hanging="360"/>
      </w:pPr>
      <w:r w:rsidDel="00000000" w:rsidR="00000000" w:rsidRPr="00000000">
        <w:rPr>
          <w:rtl w:val="0"/>
        </w:rPr>
        <w:t xml:space="preserve">Encryption</w:t>
      </w:r>
    </w:p>
    <w:p w:rsidR="00000000" w:rsidDel="00000000" w:rsidP="00000000" w:rsidRDefault="00000000" w:rsidRPr="00000000" w14:paraId="00000010">
      <w:pPr>
        <w:numPr>
          <w:ilvl w:val="0"/>
          <w:numId w:val="2"/>
        </w:numPr>
        <w:spacing w:after="0" w:afterAutospacing="0" w:line="276" w:lineRule="auto"/>
        <w:ind w:left="720" w:hanging="360"/>
      </w:pPr>
      <w:r w:rsidDel="00000000" w:rsidR="00000000" w:rsidRPr="00000000">
        <w:rPr>
          <w:rtl w:val="0"/>
        </w:rPr>
        <w:t xml:space="preserve">Authentication</w:t>
      </w:r>
    </w:p>
    <w:p w:rsidR="00000000" w:rsidDel="00000000" w:rsidP="00000000" w:rsidRDefault="00000000" w:rsidRPr="00000000" w14:paraId="00000011">
      <w:pPr>
        <w:numPr>
          <w:ilvl w:val="0"/>
          <w:numId w:val="2"/>
        </w:numPr>
        <w:spacing w:after="0" w:afterAutospacing="0" w:line="276" w:lineRule="auto"/>
        <w:ind w:left="720" w:hanging="360"/>
      </w:pPr>
      <w:r w:rsidDel="00000000" w:rsidR="00000000" w:rsidRPr="00000000">
        <w:rPr>
          <w:rtl w:val="0"/>
        </w:rPr>
        <w:t xml:space="preserve">Data Integrity</w:t>
      </w:r>
    </w:p>
    <w:p w:rsidR="00000000" w:rsidDel="00000000" w:rsidP="00000000" w:rsidRDefault="00000000" w:rsidRPr="00000000" w14:paraId="00000012">
      <w:pPr>
        <w:numPr>
          <w:ilvl w:val="0"/>
          <w:numId w:val="2"/>
        </w:numPr>
        <w:spacing w:after="0" w:afterAutospacing="0" w:line="276" w:lineRule="auto"/>
        <w:ind w:left="720" w:hanging="360"/>
      </w:pPr>
      <w:r w:rsidDel="00000000" w:rsidR="00000000" w:rsidRPr="00000000">
        <w:rPr>
          <w:rtl w:val="0"/>
        </w:rPr>
        <w:t xml:space="preserve">Peer Authentication</w:t>
      </w:r>
    </w:p>
    <w:p w:rsidR="00000000" w:rsidDel="00000000" w:rsidP="00000000" w:rsidRDefault="00000000" w:rsidRPr="00000000" w14:paraId="00000013">
      <w:pPr>
        <w:numPr>
          <w:ilvl w:val="0"/>
          <w:numId w:val="2"/>
        </w:numPr>
        <w:spacing w:after="0" w:afterAutospacing="0" w:line="276" w:lineRule="auto"/>
        <w:ind w:left="720" w:hanging="360"/>
      </w:pPr>
      <w:r w:rsidDel="00000000" w:rsidR="00000000" w:rsidRPr="00000000">
        <w:rPr>
          <w:rtl w:val="0"/>
        </w:rPr>
        <w:t xml:space="preserve">Tunnel and Transport Modes</w:t>
      </w:r>
    </w:p>
    <w:p w:rsidR="00000000" w:rsidDel="00000000" w:rsidP="00000000" w:rsidRDefault="00000000" w:rsidRPr="00000000" w14:paraId="00000014">
      <w:pPr>
        <w:numPr>
          <w:ilvl w:val="0"/>
          <w:numId w:val="2"/>
        </w:numPr>
        <w:spacing w:after="0" w:afterAutospacing="0" w:line="276" w:lineRule="auto"/>
        <w:ind w:left="720" w:hanging="360"/>
      </w:pPr>
      <w:r w:rsidDel="00000000" w:rsidR="00000000" w:rsidRPr="00000000">
        <w:rPr>
          <w:rtl w:val="0"/>
        </w:rPr>
        <w:t xml:space="preserve">Key Management: </w:t>
      </w:r>
    </w:p>
    <w:p w:rsidR="00000000" w:rsidDel="00000000" w:rsidP="00000000" w:rsidRDefault="00000000" w:rsidRPr="00000000" w14:paraId="00000015">
      <w:pPr>
        <w:numPr>
          <w:ilvl w:val="0"/>
          <w:numId w:val="2"/>
        </w:numPr>
        <w:spacing w:after="0" w:afterAutospacing="0" w:line="276" w:lineRule="auto"/>
        <w:ind w:left="720" w:hanging="360"/>
      </w:pPr>
      <w:r w:rsidDel="00000000" w:rsidR="00000000" w:rsidRPr="00000000">
        <w:rPr>
          <w:rtl w:val="0"/>
        </w:rPr>
        <w:t xml:space="preserve">Protocol support</w:t>
      </w:r>
    </w:p>
    <w:p w:rsidR="00000000" w:rsidDel="00000000" w:rsidP="00000000" w:rsidRDefault="00000000" w:rsidRPr="00000000" w14:paraId="00000016">
      <w:pPr>
        <w:numPr>
          <w:ilvl w:val="0"/>
          <w:numId w:val="2"/>
        </w:numPr>
        <w:spacing w:after="0" w:afterAutospacing="0" w:line="276" w:lineRule="auto"/>
        <w:ind w:left="720" w:hanging="360"/>
      </w:pPr>
      <w:r w:rsidDel="00000000" w:rsidR="00000000" w:rsidRPr="00000000">
        <w:rPr>
          <w:rtl w:val="0"/>
        </w:rPr>
        <w:t xml:space="preserve">Site-to-Site and Remote Access</w:t>
      </w:r>
    </w:p>
    <w:p w:rsidR="00000000" w:rsidDel="00000000" w:rsidP="00000000" w:rsidRDefault="00000000" w:rsidRPr="00000000" w14:paraId="00000017">
      <w:pPr>
        <w:numPr>
          <w:ilvl w:val="0"/>
          <w:numId w:val="2"/>
        </w:numPr>
        <w:spacing w:after="0" w:afterAutospacing="0" w:line="276" w:lineRule="auto"/>
        <w:ind w:left="720" w:hanging="360"/>
      </w:pPr>
      <w:r w:rsidDel="00000000" w:rsidR="00000000" w:rsidRPr="00000000">
        <w:rPr>
          <w:rtl w:val="0"/>
        </w:rPr>
        <w:t xml:space="preserve">Granular Access Control</w:t>
      </w:r>
    </w:p>
    <w:p w:rsidR="00000000" w:rsidDel="00000000" w:rsidP="00000000" w:rsidRDefault="00000000" w:rsidRPr="00000000" w14:paraId="00000018">
      <w:pPr>
        <w:numPr>
          <w:ilvl w:val="0"/>
          <w:numId w:val="2"/>
        </w:numPr>
        <w:spacing w:after="0" w:afterAutospacing="0" w:line="276" w:lineRule="auto"/>
        <w:ind w:left="720" w:hanging="360"/>
      </w:pPr>
      <w:r w:rsidDel="00000000" w:rsidR="00000000" w:rsidRPr="00000000">
        <w:rPr>
          <w:rtl w:val="0"/>
        </w:rPr>
        <w:t xml:space="preserve">Redundancy and Failover</w:t>
      </w:r>
    </w:p>
    <w:p w:rsidR="00000000" w:rsidDel="00000000" w:rsidP="00000000" w:rsidRDefault="00000000" w:rsidRPr="00000000" w14:paraId="00000019">
      <w:pPr>
        <w:numPr>
          <w:ilvl w:val="0"/>
          <w:numId w:val="2"/>
        </w:numPr>
        <w:spacing w:after="0" w:afterAutospacing="0" w:line="276" w:lineRule="auto"/>
        <w:ind w:left="720" w:hanging="360"/>
      </w:pPr>
      <w:r w:rsidDel="00000000" w:rsidR="00000000" w:rsidRPr="00000000">
        <w:rPr>
          <w:rtl w:val="0"/>
        </w:rPr>
        <w:t xml:space="preserve">Logging and Auditing</w:t>
      </w:r>
    </w:p>
    <w:p w:rsidR="00000000" w:rsidDel="00000000" w:rsidP="00000000" w:rsidRDefault="00000000" w:rsidRPr="00000000" w14:paraId="0000001A">
      <w:pPr>
        <w:numPr>
          <w:ilvl w:val="0"/>
          <w:numId w:val="2"/>
        </w:numPr>
        <w:spacing w:after="0" w:afterAutospacing="0" w:line="276" w:lineRule="auto"/>
        <w:ind w:left="720" w:hanging="360"/>
      </w:pPr>
      <w:r w:rsidDel="00000000" w:rsidR="00000000" w:rsidRPr="00000000">
        <w:rPr>
          <w:rtl w:val="0"/>
        </w:rPr>
        <w:t xml:space="preserve">Scalability</w:t>
      </w:r>
    </w:p>
    <w:p w:rsidR="00000000" w:rsidDel="00000000" w:rsidP="00000000" w:rsidRDefault="00000000" w:rsidRPr="00000000" w14:paraId="0000001B">
      <w:pPr>
        <w:numPr>
          <w:ilvl w:val="0"/>
          <w:numId w:val="2"/>
        </w:numPr>
        <w:spacing w:after="200" w:line="276" w:lineRule="auto"/>
        <w:ind w:left="720" w:hanging="360"/>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t xml:space="preserve">Compatibility</w:t>
      </w:r>
    </w:p>
    <w:p w:rsidR="00000000" w:rsidDel="00000000" w:rsidP="00000000" w:rsidRDefault="00000000" w:rsidRPr="00000000" w14:paraId="0000001C">
      <w:pPr>
        <w:spacing w:after="200" w:line="276" w:lineRule="auto"/>
        <w:rPr/>
      </w:pPr>
      <w:r w:rsidDel="00000000" w:rsidR="00000000" w:rsidRPr="00000000">
        <w:rPr>
          <w:rtl w:val="0"/>
        </w:rPr>
      </w:r>
    </w:p>
    <w:p w:rsidR="00000000" w:rsidDel="00000000" w:rsidP="00000000" w:rsidRDefault="00000000" w:rsidRPr="00000000" w14:paraId="0000001D">
      <w:pPr>
        <w:spacing w:after="200" w:line="276" w:lineRule="auto"/>
        <w:rPr/>
      </w:pPr>
      <w:r w:rsidDel="00000000" w:rsidR="00000000" w:rsidRPr="00000000">
        <w:rPr>
          <w:rtl w:val="0"/>
        </w:rPr>
        <w:t xml:space="preserve">We begin by establishing connections to Oracle's FastConnect locations directly and the customer's location. We use these connections for a variety of purposes, including running mission-critical applications, extending on-premises infrastructure into the cloud, or enabling hybrid cloud setups. FastConnect is particularly beneficial for organisations with a strong focus on data privacy, security, and performance, where low-latency and high-speed connectivity are critical requirements.</w:t>
      </w:r>
    </w:p>
    <w:p w:rsidR="00000000" w:rsidDel="00000000" w:rsidP="00000000" w:rsidRDefault="00000000" w:rsidRPr="00000000" w14:paraId="0000001E">
      <w:pPr>
        <w:spacing w:after="200" w:line="276" w:lineRule="auto"/>
        <w:rPr/>
      </w:pPr>
      <w:r w:rsidDel="00000000" w:rsidR="00000000" w:rsidRPr="00000000">
        <w:rPr>
          <w:rtl w:val="0"/>
        </w:rPr>
      </w:r>
    </w:p>
    <w:p w:rsidR="00000000" w:rsidDel="00000000" w:rsidP="00000000" w:rsidRDefault="00000000" w:rsidRPr="00000000" w14:paraId="0000001F">
      <w:pPr>
        <w:spacing w:after="200" w:line="276" w:lineRule="auto"/>
        <w:rPr/>
      </w:pPr>
      <w:r w:rsidDel="00000000" w:rsidR="00000000" w:rsidRPr="00000000">
        <w:rPr>
          <w:rtl w:val="0"/>
        </w:rPr>
        <w:t xml:space="preserve">Case Study</w:t>
      </w:r>
    </w:p>
    <w:p w:rsidR="00000000" w:rsidDel="00000000" w:rsidP="00000000" w:rsidRDefault="00000000" w:rsidRPr="00000000" w14:paraId="00000020">
      <w:pPr>
        <w:spacing w:after="200" w:line="276" w:lineRule="auto"/>
        <w:rPr/>
      </w:pPr>
      <w:r w:rsidDel="00000000" w:rsidR="00000000" w:rsidRPr="00000000">
        <w:rPr>
          <w:rtl w:val="0"/>
        </w:rPr>
        <w:t xml:space="preserve">The client was a large UK general insurer, which owns several insurance subsidiaries, providing various insurance products. They had issues in sourcing data from across their data estate, and making it available to enable their Finance, Claims and Reinsurance functions. </w:t>
      </w:r>
    </w:p>
    <w:p w:rsidR="00000000" w:rsidDel="00000000" w:rsidP="00000000" w:rsidRDefault="00000000" w:rsidRPr="00000000" w14:paraId="00000021">
      <w:pPr>
        <w:spacing w:after="200" w:line="276" w:lineRule="auto"/>
        <w:rPr/>
      </w:pPr>
      <w:r w:rsidDel="00000000" w:rsidR="00000000" w:rsidRPr="00000000">
        <w:rPr>
          <w:rtl w:val="0"/>
        </w:rPr>
        <w:t xml:space="preserve">The client wanted to migrate their legacy systems that support these functions into the cloud, leveraging the benefits of new cloud technologies whilst decommissioning and reducing cost in their legacy estate. </w:t>
      </w:r>
    </w:p>
    <w:p w:rsidR="00000000" w:rsidDel="00000000" w:rsidP="00000000" w:rsidRDefault="00000000" w:rsidRPr="00000000" w14:paraId="00000022">
      <w:pPr>
        <w:spacing w:after="200" w:line="276" w:lineRule="auto"/>
        <w:rPr>
          <w:b w:val="1"/>
        </w:rPr>
      </w:pPr>
      <w:r w:rsidDel="00000000" w:rsidR="00000000" w:rsidRPr="00000000">
        <w:rPr>
          <w:b w:val="1"/>
          <w:rtl w:val="0"/>
        </w:rPr>
        <w:t xml:space="preserve">What we did:</w:t>
      </w:r>
    </w:p>
    <w:p w:rsidR="00000000" w:rsidDel="00000000" w:rsidP="00000000" w:rsidRDefault="00000000" w:rsidRPr="00000000" w14:paraId="00000023">
      <w:pPr>
        <w:numPr>
          <w:ilvl w:val="0"/>
          <w:numId w:val="4"/>
        </w:numPr>
        <w:spacing w:after="0" w:afterAutospacing="0" w:line="276" w:lineRule="auto"/>
        <w:ind w:left="720" w:hanging="360"/>
        <w:rPr>
          <w:u w:val="none"/>
        </w:rPr>
      </w:pPr>
      <w:r w:rsidDel="00000000" w:rsidR="00000000" w:rsidRPr="00000000">
        <w:rPr>
          <w:rtl w:val="0"/>
        </w:rPr>
        <w:t xml:space="preserve">We brought several proven Cloud technology accelerators to support iterative migration and development of the overall solution. </w:t>
      </w:r>
    </w:p>
    <w:p w:rsidR="00000000" w:rsidDel="00000000" w:rsidP="00000000" w:rsidRDefault="00000000" w:rsidRPr="00000000" w14:paraId="00000024">
      <w:pPr>
        <w:numPr>
          <w:ilvl w:val="0"/>
          <w:numId w:val="4"/>
        </w:numPr>
        <w:spacing w:after="0" w:afterAutospacing="0" w:line="276" w:lineRule="auto"/>
        <w:ind w:left="720" w:hanging="360"/>
        <w:rPr>
          <w:u w:val="none"/>
        </w:rPr>
      </w:pPr>
      <w:r w:rsidDel="00000000" w:rsidR="00000000" w:rsidRPr="00000000">
        <w:rPr>
          <w:rtl w:val="0"/>
        </w:rPr>
        <w:t xml:space="preserve">The delivery team took a product management led approach to setup migration and delivery factories, which focused on delivering value through targeted solution across Finance, Claims and Reinsurance functions.</w:t>
      </w:r>
    </w:p>
    <w:p w:rsidR="00000000" w:rsidDel="00000000" w:rsidP="00000000" w:rsidRDefault="00000000" w:rsidRPr="00000000" w14:paraId="00000025">
      <w:pPr>
        <w:numPr>
          <w:ilvl w:val="0"/>
          <w:numId w:val="4"/>
        </w:numPr>
        <w:spacing w:after="0" w:afterAutospacing="0" w:line="276" w:lineRule="auto"/>
        <w:ind w:left="720" w:hanging="360"/>
        <w:rPr>
          <w:u w:val="none"/>
        </w:rPr>
      </w:pPr>
      <w:r w:rsidDel="00000000" w:rsidR="00000000" w:rsidRPr="00000000">
        <w:rPr>
          <w:rtl w:val="0"/>
        </w:rPr>
        <w:t xml:space="preserve">Additionally, we provided the overall programme management and delivery leadership as the delivery team included a number SaaS vendors, third party service providers, with a globally distributed delivery teams.</w:t>
      </w:r>
    </w:p>
    <w:p w:rsidR="00000000" w:rsidDel="00000000" w:rsidP="00000000" w:rsidRDefault="00000000" w:rsidRPr="00000000" w14:paraId="00000026">
      <w:pPr>
        <w:numPr>
          <w:ilvl w:val="0"/>
          <w:numId w:val="4"/>
        </w:numPr>
        <w:spacing w:after="0" w:afterAutospacing="0" w:line="276" w:lineRule="auto"/>
        <w:ind w:left="720" w:hanging="360"/>
        <w:rPr>
          <w:u w:val="none"/>
        </w:rPr>
      </w:pPr>
      <w:r w:rsidDel="00000000" w:rsidR="00000000" w:rsidRPr="00000000">
        <w:rPr>
          <w:rtl w:val="0"/>
        </w:rPr>
        <w:t xml:space="preserve">A change management approach was embedded into product delivery lifecycle so that service introduction, user adoption and transition to BAU was linked up with the usual SDLC life cycle.</w:t>
      </w:r>
    </w:p>
    <w:p w:rsidR="00000000" w:rsidDel="00000000" w:rsidP="00000000" w:rsidRDefault="00000000" w:rsidRPr="00000000" w14:paraId="00000027">
      <w:pPr>
        <w:numPr>
          <w:ilvl w:val="0"/>
          <w:numId w:val="4"/>
        </w:numPr>
        <w:spacing w:after="200" w:line="276" w:lineRule="auto"/>
        <w:ind w:left="720" w:hanging="360"/>
        <w:rPr>
          <w:u w:val="none"/>
        </w:rPr>
      </w:pPr>
      <w:r w:rsidDel="00000000" w:rsidR="00000000" w:rsidRPr="00000000">
        <w:rPr>
          <w:rtl w:val="0"/>
        </w:rPr>
        <w:t xml:space="preserve">We also brought a multi-disciplinary team of accountants, actuaries and technologists to adopt/embed a proven “disciplined agile” methodology to develop technology designs and accelerate delivery through design, build, testing and transition to BAU.</w:t>
      </w:r>
    </w:p>
    <w:p w:rsidR="00000000" w:rsidDel="00000000" w:rsidP="00000000" w:rsidRDefault="00000000" w:rsidRPr="00000000" w14:paraId="00000028">
      <w:pPr>
        <w:spacing w:after="200" w:line="276" w:lineRule="auto"/>
        <w:rPr>
          <w:b w:val="1"/>
        </w:rPr>
      </w:pPr>
      <w:r w:rsidDel="00000000" w:rsidR="00000000" w:rsidRPr="00000000">
        <w:rPr>
          <w:b w:val="1"/>
          <w:rtl w:val="0"/>
        </w:rPr>
        <w:t xml:space="preserve">What our client received:</w:t>
      </w:r>
    </w:p>
    <w:p w:rsidR="00000000" w:rsidDel="00000000" w:rsidP="00000000" w:rsidRDefault="00000000" w:rsidRPr="00000000" w14:paraId="00000029">
      <w:pPr>
        <w:numPr>
          <w:ilvl w:val="0"/>
          <w:numId w:val="3"/>
        </w:numPr>
        <w:spacing w:after="0" w:afterAutospacing="0" w:line="276" w:lineRule="auto"/>
        <w:ind w:left="720" w:hanging="360"/>
        <w:rPr>
          <w:u w:val="none"/>
        </w:rPr>
      </w:pPr>
      <w:r w:rsidDel="00000000" w:rsidR="00000000" w:rsidRPr="00000000">
        <w:rPr>
          <w:rtl w:val="0"/>
        </w:rPr>
        <w:t xml:space="preserve">Actuarial applications – migration and re-platforming of the actuarial legacy estate on to a new cloud based actuarial solution.</w:t>
      </w:r>
    </w:p>
    <w:p w:rsidR="00000000" w:rsidDel="00000000" w:rsidP="00000000" w:rsidRDefault="00000000" w:rsidRPr="00000000" w14:paraId="0000002A">
      <w:pPr>
        <w:numPr>
          <w:ilvl w:val="0"/>
          <w:numId w:val="3"/>
        </w:numPr>
        <w:spacing w:after="0" w:afterAutospacing="0" w:line="276" w:lineRule="auto"/>
        <w:ind w:left="720" w:hanging="360"/>
        <w:rPr>
          <w:u w:val="none"/>
        </w:rPr>
      </w:pPr>
      <w:r w:rsidDel="00000000" w:rsidR="00000000" w:rsidRPr="00000000">
        <w:rPr>
          <w:rtl w:val="0"/>
        </w:rPr>
        <w:t xml:space="preserve">Enterprise Resource Planning and performance management – migration and re-platform of legacy customised “on premise” finance platform to Oracle Cloud ERPM.</w:t>
      </w:r>
    </w:p>
    <w:p w:rsidR="00000000" w:rsidDel="00000000" w:rsidP="00000000" w:rsidRDefault="00000000" w:rsidRPr="00000000" w14:paraId="0000002B">
      <w:pPr>
        <w:numPr>
          <w:ilvl w:val="0"/>
          <w:numId w:val="3"/>
        </w:numPr>
        <w:spacing w:after="0" w:afterAutospacing="0" w:line="276" w:lineRule="auto"/>
        <w:ind w:left="720" w:hanging="360"/>
        <w:rPr>
          <w:u w:val="none"/>
        </w:rPr>
      </w:pPr>
      <w:r w:rsidDel="00000000" w:rsidR="00000000" w:rsidRPr="00000000">
        <w:rPr>
          <w:rtl w:val="0"/>
        </w:rPr>
        <w:t xml:space="preserve">Data Analytics Platform – delivery of a new data lake providing a unified information source for Finance and Actuarial functions and migration away from legacy repositories. </w:t>
      </w:r>
    </w:p>
    <w:p w:rsidR="00000000" w:rsidDel="00000000" w:rsidP="00000000" w:rsidRDefault="00000000" w:rsidRPr="00000000" w14:paraId="0000002C">
      <w:pPr>
        <w:numPr>
          <w:ilvl w:val="0"/>
          <w:numId w:val="3"/>
        </w:numPr>
        <w:spacing w:after="200" w:line="276" w:lineRule="auto"/>
        <w:ind w:left="720" w:hanging="360"/>
        <w:rPr>
          <w:u w:val="none"/>
        </w:rPr>
      </w:pPr>
      <w:r w:rsidDel="00000000" w:rsidR="00000000" w:rsidRPr="00000000">
        <w:rPr>
          <w:rtl w:val="0"/>
        </w:rPr>
        <w:t xml:space="preserve">Finance Data Platform – delivery of a new Finance data warehouse using Amazon Web Services Cloud Technology (inc. 100+ integrations and 9+ applications re-engineering) enabling migration from legacy capabilities. </w:t>
      </w: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