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7B06" w:rsidRPr="00197B06" w:rsidRDefault="00197B06" w:rsidP="00197B06">
      <w:pPr>
        <w:rPr>
          <w:rFonts w:ascii="Arial" w:hAnsi="Arial" w:cs="Arial"/>
          <w:b/>
          <w:sz w:val="24"/>
        </w:rPr>
      </w:pPr>
      <w:r w:rsidRPr="00197B06">
        <w:rPr>
          <w:rFonts w:ascii="Arial" w:hAnsi="Arial" w:cs="Arial"/>
          <w:b/>
          <w:sz w:val="24"/>
        </w:rPr>
        <w:t>¿Cómo puede u</w:t>
      </w:r>
      <w:r w:rsidRPr="00197B06">
        <w:rPr>
          <w:rFonts w:ascii="Arial" w:hAnsi="Arial" w:cs="Arial"/>
          <w:b/>
          <w:sz w:val="24"/>
        </w:rPr>
        <w:t xml:space="preserve">tilizarse la tomografía sísmica </w:t>
      </w:r>
      <w:r w:rsidRPr="00197B06">
        <w:rPr>
          <w:rFonts w:ascii="Arial" w:hAnsi="Arial" w:cs="Arial"/>
          <w:b/>
          <w:sz w:val="24"/>
        </w:rPr>
        <w:t>para identificar variaciones en la estructura y composición del subsuelo?</w:t>
      </w:r>
    </w:p>
    <w:p w:rsidR="00197B06" w:rsidRPr="00197B06" w:rsidRDefault="00197B06" w:rsidP="00197B06">
      <w:pPr>
        <w:rPr>
          <w:rFonts w:ascii="Arial" w:hAnsi="Arial" w:cs="Arial"/>
        </w:rPr>
      </w:pPr>
      <w:r w:rsidRPr="00197B06">
        <w:rPr>
          <w:rFonts w:ascii="Arial" w:hAnsi="Arial" w:cs="Arial"/>
        </w:rPr>
        <w:t>La tomografía sísmica reconstruye la estructura interna de la Tierra analizando las diferencias en el tiempo que tardan las ondas sísmicas (P y S) en atravesar distintas capas del subsuelo. Estas variaciones de velocidad se traducen en mapas bidimensionales o tridimensionales que reflejan cambios directos en la densidad, elasticidad, temperatura y contenido de fluidos del terreno.</w:t>
      </w:r>
    </w:p>
    <w:p w:rsidR="00197B06" w:rsidRPr="00197B06" w:rsidRDefault="00197B06" w:rsidP="00197B06">
      <w:pPr>
        <w:rPr>
          <w:rFonts w:ascii="Arial" w:hAnsi="Arial" w:cs="Arial"/>
          <w:b/>
        </w:rPr>
      </w:pPr>
      <w:r w:rsidRPr="00197B06">
        <w:rPr>
          <w:rFonts w:ascii="Arial" w:hAnsi="Arial" w:cs="Arial"/>
        </w:rPr>
        <w:t>​</w:t>
      </w:r>
      <w:r w:rsidRPr="00197B06">
        <w:rPr>
          <w:rFonts w:ascii="Arial" w:hAnsi="Arial" w:cs="Arial"/>
          <w:b/>
        </w:rPr>
        <w:t>Mecanismos de identificación de materiales</w:t>
      </w:r>
      <w:r w:rsidRPr="00197B06">
        <w:rPr>
          <w:rFonts w:ascii="Arial" w:hAnsi="Arial" w:cs="Arial"/>
          <w:b/>
        </w:rPr>
        <w:t>:</w:t>
      </w:r>
    </w:p>
    <w:p w:rsidR="00197B06" w:rsidRPr="00197B06" w:rsidRDefault="00197B06" w:rsidP="00197B0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197B06">
        <w:rPr>
          <w:rFonts w:ascii="Arial" w:hAnsi="Arial" w:cs="Arial"/>
        </w:rPr>
        <w:t>​</w:t>
      </w:r>
      <w:r>
        <w:rPr>
          <w:rFonts w:ascii="Arial" w:hAnsi="Arial" w:cs="Arial"/>
        </w:rPr>
        <w:t>Variación de velocidad (</w:t>
      </w:r>
      <w:proofErr w:type="spellStart"/>
      <w:r w:rsidRPr="00197B06">
        <w:rPr>
          <w:rFonts w:ascii="Arial" w:hAnsi="Arial" w:cs="Arial"/>
          <w:u w:val="single"/>
        </w:rPr>
        <w:t>V</w:t>
      </w:r>
      <w:r w:rsidRPr="00197B06">
        <w:rPr>
          <w:rFonts w:ascii="Arial" w:hAnsi="Arial" w:cs="Arial"/>
          <w:u w:val="single"/>
          <w:vertAlign w:val="subscript"/>
        </w:rPr>
        <w:t>p</w:t>
      </w:r>
      <w:proofErr w:type="spellEnd"/>
      <w:r>
        <w:rPr>
          <w:rFonts w:ascii="Arial" w:hAnsi="Arial" w:cs="Arial"/>
        </w:rPr>
        <w:t xml:space="preserve"> y V</w:t>
      </w:r>
      <w:r w:rsidRPr="00197B06">
        <w:rPr>
          <w:rFonts w:ascii="Arial" w:hAnsi="Arial" w:cs="Arial"/>
          <w:vertAlign w:val="subscript"/>
        </w:rPr>
        <w:t>s</w:t>
      </w:r>
      <w:r w:rsidRPr="00197B06">
        <w:rPr>
          <w:rFonts w:ascii="Arial" w:hAnsi="Arial" w:cs="Arial"/>
        </w:rPr>
        <w:t>): Las ondas viajan más rápido en rocas densas, frías y rígidas (como el basalto no fracturado o el lecho rocoso consolidado). Por el contrario, la velocidad disminuye significativamente al atravesar zonas de alta temperatura, rocas porosas, suelos blandos o material alterado.</w:t>
      </w:r>
    </w:p>
    <w:p w:rsidR="00197B06" w:rsidRPr="00197B06" w:rsidRDefault="00197B06" w:rsidP="00197B0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197B06">
        <w:rPr>
          <w:rFonts w:ascii="Arial" w:hAnsi="Arial" w:cs="Arial"/>
        </w:rPr>
        <w:t xml:space="preserve">​Respuesta a fluidos y fusión </w:t>
      </w:r>
      <w:r>
        <w:rPr>
          <w:rFonts w:ascii="Arial" w:hAnsi="Arial" w:cs="Arial"/>
        </w:rPr>
        <w:t>parcial: Las ondas de corte (</w:t>
      </w:r>
      <w:r>
        <w:rPr>
          <w:rFonts w:ascii="Arial" w:hAnsi="Arial" w:cs="Arial"/>
        </w:rPr>
        <w:t>V</w:t>
      </w:r>
      <w:r w:rsidRPr="00197B06">
        <w:rPr>
          <w:rFonts w:ascii="Arial" w:hAnsi="Arial" w:cs="Arial"/>
          <w:vertAlign w:val="subscript"/>
        </w:rPr>
        <w:t>s</w:t>
      </w:r>
      <w:r w:rsidRPr="00197B06">
        <w:rPr>
          <w:rFonts w:ascii="Arial" w:hAnsi="Arial" w:cs="Arial"/>
        </w:rPr>
        <w:t xml:space="preserve">) no se propagan a través de fluidos. Una reducción severa en </w:t>
      </w:r>
      <w:r>
        <w:rPr>
          <w:rFonts w:ascii="Arial" w:hAnsi="Arial" w:cs="Arial"/>
        </w:rPr>
        <w:t>V</w:t>
      </w:r>
      <w:r w:rsidRPr="00197B06">
        <w:rPr>
          <w:rFonts w:ascii="Arial" w:hAnsi="Arial" w:cs="Arial"/>
          <w:vertAlign w:val="subscript"/>
        </w:rPr>
        <w:t>s</w:t>
      </w:r>
      <w:r w:rsidRPr="00197B06">
        <w:rPr>
          <w:rFonts w:ascii="Arial" w:hAnsi="Arial" w:cs="Arial"/>
        </w:rPr>
        <w:t xml:space="preserve"> respecto a la velocidad de la onda compresional (</w:t>
      </w:r>
      <w:proofErr w:type="spellStart"/>
      <w:r w:rsidRPr="00197B06">
        <w:rPr>
          <w:rFonts w:ascii="Arial" w:hAnsi="Arial" w:cs="Arial"/>
          <w:u w:val="single"/>
        </w:rPr>
        <w:t>V</w:t>
      </w:r>
      <w:r w:rsidRPr="00197B06">
        <w:rPr>
          <w:rFonts w:ascii="Arial" w:hAnsi="Arial" w:cs="Arial"/>
          <w:u w:val="single"/>
          <w:vertAlign w:val="subscript"/>
        </w:rPr>
        <w:t>p</w:t>
      </w:r>
      <w:proofErr w:type="spellEnd"/>
      <w:r w:rsidRPr="00197B06">
        <w:rPr>
          <w:rFonts w:ascii="Arial" w:hAnsi="Arial" w:cs="Arial"/>
        </w:rPr>
        <w:t>) indica la presencia de agua, bolsas de gas, hidrocarburos o magma parcialmente fundido.</w:t>
      </w:r>
    </w:p>
    <w:p w:rsidR="00357AEF" w:rsidRPr="00197B06" w:rsidRDefault="00197B06" w:rsidP="00197B0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197B06">
        <w:rPr>
          <w:rFonts w:ascii="Arial" w:hAnsi="Arial" w:cs="Arial"/>
        </w:rPr>
        <w:t>​Inversión tomográfica de tiempos de viaje: Mediante un arreglo de receptores (geófonos o sismógrafos) y múltiples fuentes de energía (sismos naturales o vibradores mecánicos), un algoritmo matemáticamente "retroproyecta" las trayectorias para asignar a cada celda del modelo una velocidad sísmica característica.</w:t>
      </w:r>
      <w:bookmarkStart w:id="0" w:name="_GoBack"/>
      <w:bookmarkEnd w:id="0"/>
    </w:p>
    <w:sectPr w:rsidR="00357AEF" w:rsidRPr="00197B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647BB1"/>
    <w:multiLevelType w:val="hybridMultilevel"/>
    <w:tmpl w:val="F600FE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71C"/>
    <w:rsid w:val="00197B06"/>
    <w:rsid w:val="0085271C"/>
    <w:rsid w:val="00CD1DC2"/>
    <w:rsid w:val="00FB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BE230E-06D4-4C60-B7FC-4223579B9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7B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ICRA</dc:creator>
  <cp:keywords/>
  <dc:description/>
  <cp:lastModifiedBy>ICRA</cp:lastModifiedBy>
  <cp:revision>2</cp:revision>
  <dcterms:created xsi:type="dcterms:W3CDTF">2026-09-04T19:04:00Z</dcterms:created>
  <dcterms:modified xsi:type="dcterms:W3CDTF">2026-09-04T19:04:00Z</dcterms:modified>
</cp:coreProperties>
</file>