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  <w:r>
        <w:drawing>
          <wp:inline xmlns:a="http://schemas.openxmlformats.org/drawingml/2006/main" xmlns:pic="http://schemas.openxmlformats.org/drawingml/2006/picture">
            <wp:extent cx="3600000" cy="1086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onsulto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86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0"/>
      </w:pPr>
      <w:r>
        <w:rPr>
          <w:rFonts w:ascii="Arial" w:hAnsi="Arial"/>
          <w:b/>
          <w:color w:val="111111"/>
          <w:sz w:val="68"/>
        </w:rPr>
        <w:t>Ciclo de trabajo</w:t>
      </w:r>
    </w:p>
    <w:p>
      <w:r>
        <w:rPr>
          <w:rFonts w:ascii="Arial" w:hAnsi="Arial"/>
          <w:color w:val="D0021B"/>
          <w:sz w:val="32"/>
        </w:rPr>
        <w:t>Las 8 etapas con las que llevamos adelante cada proyecto</w:t>
      </w:r>
    </w:p>
    <w:p>
      <w:pPr>
        <w:spacing w:before="1200"/>
      </w:pPr>
      <w:r>
        <w:rPr>
          <w:color w:val="555555"/>
          <w:sz w:val="22"/>
        </w:rPr>
        <w:t>Rumbo Global Consultores S.A.</w:t>
        <w:br/>
      </w:r>
      <w:r>
        <w:rPr>
          <w:color w:val="555555"/>
          <w:sz w:val="22"/>
        </w:rPr>
        <w:t>Versión 1.0 · 2026</w:t>
        <w:br/>
      </w:r>
      <w:r>
        <w:rPr>
          <w:color w:val="555555"/>
          <w:sz w:val="22"/>
        </w:rPr>
        <w:t>Aplicado al proyecto ASHAB</w:t>
      </w:r>
    </w:p>
    <w:p>
      <w:r>
        <w:br w:type="page"/>
      </w:r>
    </w:p>
    <w:p>
      <w:pPr>
        <w:pStyle w:val="Heading1"/>
      </w:pPr>
      <w:r>
        <w:t>1. Visión general</w:t>
      </w:r>
    </w:p>
    <w:p>
      <w:r>
        <w:rPr>
          <w:b w:val="0"/>
          <w:i w:val="0"/>
        </w:rPr>
        <w:t>Todos los proyectos de Rumbo Global siguen el mismo ciclo de ocho etapas. Tiene dos puntos de control, donde el proyecto no avanza si no se cumplen ciertas condiciones, y termina volviendo al principio para mejorar.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128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como_trabaja_la_consultora_si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9"/>
        </w:rPr>
        <w:t>Figura 1. El ciclo explicado simple.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22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_ciclo_de_trabajo_consulto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9"/>
        </w:rPr>
        <w:t>Figura 2. El ciclo completo, con sus puntos de control y vueltas atrás.</w:t>
      </w:r>
    </w:p>
    <w:p>
      <w:pPr>
        <w:pStyle w:val="Heading1"/>
      </w:pPr>
      <w:r>
        <w:t>2. Las ocho etapas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 w:val="true"/>
        </w:trPr>
        <w:tc>
          <w:tcPr>
            <w:tcW w:type="dxa" w:w="624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type="dxa" w:w="1701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3515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9"/>
              </w:rPr>
              <w:t>Qué se hace</w:t>
            </w:r>
          </w:p>
        </w:tc>
        <w:tc>
          <w:tcPr>
            <w:tcW w:type="dxa" w:w="1928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1587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9"/>
              </w:rPr>
              <w:t>Duración típica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Contacto y brief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Primera reunión, conocer producto, capacidad y objetivos del cliente.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Brief firmado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1 semana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1701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Diagnóstico y mercado</w:t>
            </w:r>
          </w:p>
        </w:tc>
        <w:tc>
          <w:tcPr>
            <w:tcW w:type="dxa" w:w="3515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Estudio de demanda, competencia, requisitos sanitarios y aduaneros; selección de países.</w:t>
            </w:r>
          </w:p>
        </w:tc>
        <w:tc>
          <w:tcPr>
            <w:tcW w:type="dxa" w:w="1928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Informe de mercado</w:t>
            </w:r>
          </w:p>
        </w:tc>
        <w:tc>
          <w:tcPr>
            <w:tcW w:type="dxa" w:w="1587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3 a 4 semanas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Propuesta y contrato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Alcance, cronograma, presupuesto y honorarios.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Propuesta y contrato firmados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1 a 2 semanas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1701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Planificación</w:t>
            </w:r>
          </w:p>
        </w:tc>
        <w:tc>
          <w:tcPr>
            <w:tcW w:type="dxa" w:w="3515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Plan detallado, responsables, hitos y riesgos.</w:t>
            </w:r>
          </w:p>
        </w:tc>
        <w:tc>
          <w:tcPr>
            <w:tcW w:type="dxa" w:w="1928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Plan de proyecto</w:t>
            </w:r>
          </w:p>
        </w:tc>
        <w:tc>
          <w:tcPr>
            <w:tcW w:type="dxa" w:w="1587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2 semanas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Ejecución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Marca, habilitaciones, compradores, contratos, logística y cobranza.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Entregables por fase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6 a 10 meses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1701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Control</w:t>
            </w:r>
          </w:p>
        </w:tc>
        <w:tc>
          <w:tcPr>
            <w:tcW w:type="dxa" w:w="3515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Seguimiento semanal de avances, costos y riesgos; reportes mensuales.</w:t>
            </w:r>
          </w:p>
        </w:tc>
        <w:tc>
          <w:tcPr>
            <w:tcW w:type="dxa" w:w="1928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Informe mensual</w:t>
            </w:r>
          </w:p>
        </w:tc>
        <w:tc>
          <w:tcPr>
            <w:tcW w:type="dxa" w:w="1587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Continuo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Cierre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Evaluación de resultados, entrega de documentación y lecciones aprendidas.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Informe final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2 semanas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8</w:t>
            </w:r>
          </w:p>
        </w:tc>
        <w:tc>
          <w:tcPr>
            <w:tcW w:type="dxa" w:w="1701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Mejora continua</w:t>
            </w:r>
          </w:p>
        </w:tc>
        <w:tc>
          <w:tcPr>
            <w:tcW w:type="dxa" w:w="3515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Nuevos mercados, nuevos productos y ajustes al método.</w:t>
            </w:r>
          </w:p>
        </w:tc>
        <w:tc>
          <w:tcPr>
            <w:tcW w:type="dxa" w:w="1928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Plan de mejoras</w:t>
            </w:r>
          </w:p>
        </w:tc>
        <w:tc>
          <w:tcPr>
            <w:tcW w:type="dxa" w:w="1587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Continuo</w:t>
            </w:r>
          </w:p>
        </w:tc>
      </w:tr>
    </w:tbl>
    <w:p>
      <w:pPr>
        <w:spacing w:after="80"/>
      </w:pPr>
    </w:p>
    <w:p>
      <w:pPr>
        <w:pStyle w:val="Heading1"/>
      </w:pPr>
      <w:r>
        <w:t>3. Puntos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  <w:cantSplit w:val="true"/>
        </w:trPr>
        <w:tc>
          <w:tcPr>
            <w:tcW w:type="dxa" w:w="1984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Punto de control</w:t>
            </w:r>
          </w:p>
        </w:tc>
        <w:tc>
          <w:tcPr>
            <w:tcW w:type="dxa" w:w="2154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Dónde está</w:t>
            </w:r>
          </w:p>
        </w:tc>
        <w:tc>
          <w:tcPr>
            <w:tcW w:type="dxa" w:w="2948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Se avanza si…</w:t>
            </w:r>
          </w:p>
        </w:tc>
        <w:tc>
          <w:tcPr>
            <w:tcW w:type="dxa" w:w="2268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Si no se cumple…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A. Aprobación del cliente</w:t>
            </w:r>
          </w:p>
        </w:tc>
        <w:tc>
          <w:tcPr>
            <w:tcW w:type="dxa" w:w="215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Después de la propuesta (etapa 3)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El cliente aprueba alcance, presupuesto y plazos por escrito.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Se ajusta la propuesta y se vuelve a presentar.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B. Verificación de objetivos</w:t>
            </w:r>
          </w:p>
        </w:tc>
        <w:tc>
          <w:tcPr>
            <w:tcW w:type="dxa" w:w="2154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Después del control (etapa 6)</w:t>
            </w:r>
          </w:p>
        </w:tc>
        <w:tc>
          <w:tcPr>
            <w:tcW w:type="dxa" w:w="2948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Se cumplen los objetivos de la fase: fechas, costos y calidad dentro de lo acordado.</w:t>
            </w:r>
          </w:p>
        </w:tc>
        <w:tc>
          <w:tcPr>
            <w:tcW w:type="dxa" w:w="2268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Se corrige la ejecución y se vuelve a controlar.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Además, durante la ejecución del proyecto de exportación hay controles propios del negocio: aprobación de laboratorio y certificados, aceptación de condiciones por el importador, documentación conforme en la aduana y aprobación sanitaria en destino. Están en los diagramas de flujo complejos 1 a 3.</w:t>
      </w:r>
    </w:p>
    <w:p>
      <w:pPr>
        <w:pStyle w:val="Heading1"/>
      </w:pPr>
      <w:r>
        <w:t>4. Roles y responsabilidades</w:t>
      </w:r>
    </w:p>
    <w:p>
      <w:r>
        <w:rPr>
          <w:b w:val="0"/>
          <w:i w:val="0"/>
        </w:rPr>
        <w:t>R = responsable de hacerlo · A = aprueba · C = se consulta · I = se informa.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  <w:cantSplit w:val="true"/>
        </w:trPr>
        <w:tc>
          <w:tcPr>
            <w:tcW w:type="dxa" w:w="2948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07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9"/>
              </w:rPr>
              <w:t>Cliente</w:t>
            </w:r>
          </w:p>
        </w:tc>
        <w:tc>
          <w:tcPr>
            <w:tcW w:type="dxa" w:w="1247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9"/>
              </w:rPr>
              <w:t>Líder de proyecto</w:t>
            </w:r>
          </w:p>
        </w:tc>
        <w:tc>
          <w:tcPr>
            <w:tcW w:type="dxa" w:w="1247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9"/>
              </w:rPr>
              <w:t>Comercio exterior</w:t>
            </w:r>
          </w:p>
        </w:tc>
        <w:tc>
          <w:tcPr>
            <w:tcW w:type="dxa" w:w="1247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9"/>
              </w:rPr>
              <w:t>Logística y aduana</w:t>
            </w:r>
          </w:p>
        </w:tc>
        <w:tc>
          <w:tcPr>
            <w:tcW w:type="dxa" w:w="907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9"/>
              </w:rPr>
              <w:t>Legal</w:t>
            </w:r>
          </w:p>
        </w:tc>
        <w:tc>
          <w:tcPr>
            <w:tcW w:type="dxa" w:w="1020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9"/>
              </w:rPr>
              <w:t>Tecnología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Brief y diagnóstico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C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A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R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I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I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I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Propuesta y contrato</w:t>
            </w:r>
          </w:p>
        </w:tc>
        <w:tc>
          <w:tcPr>
            <w:tcW w:type="dxa" w:w="907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A</w:t>
            </w:r>
          </w:p>
        </w:tc>
        <w:tc>
          <w:tcPr>
            <w:tcW w:type="dxa" w:w="1247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R</w:t>
            </w:r>
          </w:p>
        </w:tc>
        <w:tc>
          <w:tcPr>
            <w:tcW w:type="dxa" w:w="1247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C</w:t>
            </w:r>
          </w:p>
        </w:tc>
        <w:tc>
          <w:tcPr>
            <w:tcW w:type="dxa" w:w="1247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I</w:t>
            </w:r>
          </w:p>
        </w:tc>
        <w:tc>
          <w:tcPr>
            <w:tcW w:type="dxa" w:w="907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R</w:t>
            </w:r>
          </w:p>
        </w:tc>
        <w:tc>
          <w:tcPr>
            <w:tcW w:type="dxa" w:w="1020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I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Marca y habilitaciones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C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A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I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I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R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I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Búsqueda y negociación con compradores</w:t>
            </w:r>
          </w:p>
        </w:tc>
        <w:tc>
          <w:tcPr>
            <w:tcW w:type="dxa" w:w="907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C</w:t>
            </w:r>
          </w:p>
        </w:tc>
        <w:tc>
          <w:tcPr>
            <w:tcW w:type="dxa" w:w="1247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A</w:t>
            </w:r>
          </w:p>
        </w:tc>
        <w:tc>
          <w:tcPr>
            <w:tcW w:type="dxa" w:w="1247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R</w:t>
            </w:r>
          </w:p>
        </w:tc>
        <w:tc>
          <w:tcPr>
            <w:tcW w:type="dxa" w:w="1247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I</w:t>
            </w:r>
          </w:p>
        </w:tc>
        <w:tc>
          <w:tcPr>
            <w:tcW w:type="dxa" w:w="907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C</w:t>
            </w:r>
          </w:p>
        </w:tc>
        <w:tc>
          <w:tcPr>
            <w:tcW w:type="dxa" w:w="1020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I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Documentos y embarque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I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A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C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R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C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I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Sitio web y sistema</w:t>
            </w:r>
          </w:p>
        </w:tc>
        <w:tc>
          <w:tcPr>
            <w:tcW w:type="dxa" w:w="907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C</w:t>
            </w:r>
          </w:p>
        </w:tc>
        <w:tc>
          <w:tcPr>
            <w:tcW w:type="dxa" w:w="1247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A</w:t>
            </w:r>
          </w:p>
        </w:tc>
        <w:tc>
          <w:tcPr>
            <w:tcW w:type="dxa" w:w="1247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I</w:t>
            </w:r>
          </w:p>
        </w:tc>
        <w:tc>
          <w:tcPr>
            <w:tcW w:type="dxa" w:w="1247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I</w:t>
            </w:r>
          </w:p>
        </w:tc>
        <w:tc>
          <w:tcPr>
            <w:tcW w:type="dxa" w:w="907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C</w:t>
            </w:r>
          </w:p>
        </w:tc>
        <w:tc>
          <w:tcPr>
            <w:tcW w:type="dxa" w:w="1020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R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Cobranza y cierre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I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A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C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R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C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I</w:t>
            </w:r>
          </w:p>
        </w:tc>
      </w:tr>
    </w:tbl>
    <w:p>
      <w:pPr>
        <w:spacing w:after="80"/>
      </w:pPr>
    </w:p>
    <w:p>
      <w:pPr>
        <w:pStyle w:val="Heading1"/>
      </w:pPr>
      <w:r>
        <w:t>5. Cronograma tipo: proyecto ASHAB, 12 meses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</w:tblGrid>
      <w:tr>
        <w:trPr>
          <w:tblHeader w:val="true"/>
          <w:cantSplit w:val="true"/>
        </w:trPr>
        <w:tc>
          <w:tcPr>
            <w:tcW w:type="dxa" w:w="2494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567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567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567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567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567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type="dxa" w:w="567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6</w:t>
            </w:r>
          </w:p>
        </w:tc>
        <w:tc>
          <w:tcPr>
            <w:tcW w:type="dxa" w:w="567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7</w:t>
            </w:r>
          </w:p>
        </w:tc>
        <w:tc>
          <w:tcPr>
            <w:tcW w:type="dxa" w:w="567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8</w:t>
            </w:r>
          </w:p>
        </w:tc>
        <w:tc>
          <w:tcPr>
            <w:tcW w:type="dxa" w:w="567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9</w:t>
            </w:r>
          </w:p>
        </w:tc>
        <w:tc>
          <w:tcPr>
            <w:tcW w:type="dxa" w:w="567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10</w:t>
            </w:r>
          </w:p>
        </w:tc>
        <w:tc>
          <w:tcPr>
            <w:tcW w:type="dxa" w:w="567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11</w:t>
            </w:r>
          </w:p>
        </w:tc>
        <w:tc>
          <w:tcPr>
            <w:tcW w:type="dxa" w:w="567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Diagnóstico y plan</w:t>
            </w:r>
          </w:p>
        </w:tc>
        <w:tc>
          <w:tcPr>
            <w:tcW w:type="dxa" w:w="567"/>
            <w:shd w:val="clear" w:color="auto" w:fill="D0021B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  <w:shd w:val="clear" w:color="auto" w:fill="D0021B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  <w:shd w:val="clear" w:color="auto" w:fill="D0021B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Marca y habilitaciones</w:t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  <w:shd w:val="clear" w:color="auto" w:fill="D0021B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  <w:shd w:val="clear" w:color="auto" w:fill="D0021B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  <w:shd w:val="clear" w:color="auto" w:fill="D0021B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  <w:shd w:val="clear" w:color="auto" w:fill="D0021B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Prospección y feria</w:t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  <w:shd w:val="clear" w:color="auto" w:fill="D0021B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  <w:shd w:val="clear" w:color="auto" w:fill="D0021B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  <w:shd w:val="clear" w:color="auto" w:fill="D0021B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  <w:shd w:val="clear" w:color="auto" w:fill="D0021B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  <w:shd w:val="clear" w:color="auto" w:fill="D0021B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Primer embarque</w:t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  <w:shd w:val="clear" w:color="auto" w:fill="D0021B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  <w:shd w:val="clear" w:color="auto" w:fill="D0021B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  <w:shd w:val="clear" w:color="auto" w:fill="D0021B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  <w:shd w:val="clear" w:color="auto" w:fill="D0021B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Escala y seguimiento</w:t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  <w:shd w:val="clear" w:color="auto" w:fill="D0021B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  <w:shd w:val="clear" w:color="auto" w:fill="D0021B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  <w:shd w:val="clear" w:color="auto" w:fill="D0021B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67"/>
            <w:shd w:val="clear" w:color="auto" w:fill="D0021B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r>
        <w:rPr>
          <w:b w:val="0"/>
          <w:i/>
          <w:sz w:val="19"/>
        </w:rPr>
        <w:t>Cada barra roja indica los meses en que la fase está activa.</w:t>
      </w:r>
    </w:p>
    <w:p>
      <w:pPr>
        <w:pStyle w:val="Heading1"/>
      </w:pPr>
      <w:r>
        <w:t>6. Reuniones y reportes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  <w:cantSplit w:val="true"/>
        </w:trPr>
        <w:tc>
          <w:tcPr>
            <w:tcW w:type="dxa" w:w="2438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Instancia</w:t>
            </w:r>
          </w:p>
        </w:tc>
        <w:tc>
          <w:tcPr>
            <w:tcW w:type="dxa" w:w="1984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551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Participan</w:t>
            </w:r>
          </w:p>
        </w:tc>
        <w:tc>
          <w:tcPr>
            <w:tcW w:type="dxa" w:w="2381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Reunión de seguimiento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Semanal (30 min)</w:t>
            </w:r>
          </w:p>
        </w:tc>
        <w:tc>
          <w:tcPr>
            <w:tcW w:type="dxa" w:w="2551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Líder de proyecto y cliente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Acta corta con acuerdos</w:t>
            </w:r>
          </w:p>
        </w:tc>
      </w:tr>
      <w:tr>
        <w:trPr>
          <w:cantSplit w:val="true"/>
        </w:trPr>
        <w:tc>
          <w:tcPr>
            <w:tcW w:type="dxa" w:w="2438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Informe mensual</w:t>
            </w:r>
          </w:p>
        </w:tc>
        <w:tc>
          <w:tcPr>
            <w:tcW w:type="dxa" w:w="1984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Mensual</w:t>
            </w:r>
          </w:p>
        </w:tc>
        <w:tc>
          <w:tcPr>
            <w:tcW w:type="dxa" w:w="2551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Dirección, líder y cliente</w:t>
            </w:r>
          </w:p>
        </w:tc>
        <w:tc>
          <w:tcPr>
            <w:tcW w:type="dxa" w:w="2381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Avance, costos, riesgos y decisiones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Comité de riesgos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Cada embarque</w:t>
            </w:r>
          </w:p>
        </w:tc>
        <w:tc>
          <w:tcPr>
            <w:tcW w:type="dxa" w:w="2551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Logística, legal y líder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Plan de contingencia aprobado</w:t>
            </w:r>
          </w:p>
        </w:tc>
      </w:tr>
      <w:tr>
        <w:trPr>
          <w:cantSplit w:val="true"/>
        </w:trPr>
        <w:tc>
          <w:tcPr>
            <w:tcW w:type="dxa" w:w="2438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Cierre de proyecto</w:t>
            </w:r>
          </w:p>
        </w:tc>
        <w:tc>
          <w:tcPr>
            <w:tcW w:type="dxa" w:w="1984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Al finalizar</w:t>
            </w:r>
          </w:p>
        </w:tc>
        <w:tc>
          <w:tcPr>
            <w:tcW w:type="dxa" w:w="2551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Todo el equipo</w:t>
            </w:r>
          </w:p>
        </w:tc>
        <w:tc>
          <w:tcPr>
            <w:tcW w:type="dxa" w:w="2381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Lecciones aprendidas</w:t>
            </w:r>
          </w:p>
        </w:tc>
      </w:tr>
    </w:tbl>
    <w:p>
      <w:pPr>
        <w:spacing w:after="80"/>
      </w:pPr>
    </w:p>
    <w:p>
      <w:pPr>
        <w:pStyle w:val="Heading1"/>
      </w:pPr>
      <w:r>
        <w:t>7. Gestión de cambios y riesgos</w:t>
      </w:r>
    </w:p>
    <w:p>
      <w:pPr>
        <w:pStyle w:val="ListNumber"/>
        <w:spacing w:after="60"/>
      </w:pPr>
      <w:r>
        <w:t>Cualquier cambio de alcance, plazo o costo se pide por escrito.</w:t>
      </w:r>
    </w:p>
    <w:p>
      <w:pPr>
        <w:pStyle w:val="ListNumber"/>
        <w:spacing w:after="60"/>
      </w:pPr>
      <w:r>
        <w:t>El líder de proyecto evalúa el impacto en una hoja con costo, tiempo y riesgo.</w:t>
      </w:r>
    </w:p>
    <w:p>
      <w:pPr>
        <w:pStyle w:val="ListNumber"/>
        <w:spacing w:after="60"/>
      </w:pPr>
      <w:r>
        <w:t>El cliente aprueba o rechaza antes de ejecutar.</w:t>
      </w:r>
    </w:p>
    <w:p>
      <w:pPr>
        <w:pStyle w:val="ListNumber"/>
        <w:spacing w:after="60"/>
      </w:pPr>
      <w:r>
        <w:t>El cambio se registra en el plan.</w:t>
      </w:r>
    </w:p>
    <w:p>
      <w:pPr>
        <w:pStyle w:val="ListNumber"/>
        <w:spacing w:after="60"/>
      </w:pPr>
      <w:r>
        <w:t>Los riesgos nuevos se anotan en la matriz y se revisan en la reunión semanal.</w:t>
      </w:r>
    </w:p>
    <w:p>
      <w:pPr>
        <w:pStyle w:val="Heading1"/>
      </w:pPr>
      <w:r>
        <w:t>8. Indicadores del ciclo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535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Cómo se mide</w:t>
            </w:r>
          </w:p>
        </w:tc>
        <w:tc>
          <w:tcPr>
            <w:tcW w:type="dxa" w:w="1984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Meta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Cumplimiento de hitos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Hitos entregados en fecha ÷ hitos totales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90 % o más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Desvío de presupuesto</w:t>
            </w:r>
          </w:p>
        </w:tc>
        <w:tc>
          <w:tcPr>
            <w:tcW w:type="dxa" w:w="4535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(Costo real − presupuesto) ÷ presupuesto</w:t>
            </w:r>
          </w:p>
        </w:tc>
        <w:tc>
          <w:tcPr>
            <w:tcW w:type="dxa" w:w="1984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Menos de 10 %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Documentación sin observaciones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Embarques sin observaciones de aduana ÷ embarques totales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95 % o más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Cobranza en término</w:t>
            </w:r>
          </w:p>
        </w:tc>
        <w:tc>
          <w:tcPr>
            <w:tcW w:type="dxa" w:w="4535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Embarques cobrados en el plazo acordado ÷ embarques</w:t>
            </w:r>
          </w:p>
        </w:tc>
        <w:tc>
          <w:tcPr>
            <w:tcW w:type="dxa" w:w="1984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95 % o más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Satisfacción del cliente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Encuesta al cierre (1 a 5)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4,5 o más</w:t>
            </w:r>
          </w:p>
        </w:tc>
      </w:tr>
    </w:tbl>
    <w:p>
      <w:pPr>
        <w:spacing w:after="80"/>
      </w:pPr>
    </w:p>
    <w:p>
      <w:pPr>
        <w:pStyle w:val="Heading1"/>
      </w:pPr>
      <w:r>
        <w:t>9. Herramientas</w:t>
      </w:r>
    </w:p>
    <w:p>
      <w:pPr>
        <w:pStyle w:val="ListBullet"/>
        <w:spacing w:after="60"/>
      </w:pPr>
      <w:r>
        <w:t>WhatsApp (11 3348-6017): canal rápido con el cliente.</w:t>
      </w:r>
    </w:p>
    <w:p>
      <w:pPr>
        <w:pStyle w:val="ListBullet"/>
        <w:spacing w:after="60"/>
      </w:pPr>
      <w:r>
        <w:t>Sitios web de la consultora y del proyecto con ingreso seguro (DNI o Google): estado de proyectos y pedidos.</w:t>
      </w:r>
    </w:p>
    <w:p>
      <w:pPr>
        <w:pStyle w:val="ListBullet"/>
        <w:spacing w:after="60"/>
      </w:pPr>
      <w:r>
        <w:t>Planilla de costos en Excel: presupuesto, escenarios y seguimiento.</w:t>
      </w:r>
    </w:p>
    <w:p>
      <w:pPr>
        <w:pStyle w:val="ListBullet"/>
        <w:spacing w:after="60"/>
      </w:pPr>
      <w:r>
        <w:t>Diagramas de flujo: guía visual de cada fase.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8"/>
      </w:rPr>
      <w:t xml:space="preserve">Rumbo Global Consultores S.A. · Ciclo de trabajo  ·  Página </w:t>
    </w:r>
    <w:r>
      <w:rPr>
        <w:color w:val="777777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1111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D0021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