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drawing>
          <wp:inline xmlns:a="http://schemas.openxmlformats.org/drawingml/2006/main" xmlns:pic="http://schemas.openxmlformats.org/drawingml/2006/picture">
            <wp:extent cx="3600000" cy="1086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onsulto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86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0"/>
      </w:pPr>
      <w:r>
        <w:rPr>
          <w:rFonts w:ascii="Arial" w:hAnsi="Arial"/>
          <w:b/>
          <w:color w:val="111111"/>
          <w:sz w:val="68"/>
        </w:rPr>
        <w:t>Cultura de la consultora</w:t>
      </w:r>
    </w:p>
    <w:p>
      <w:r>
        <w:rPr>
          <w:rFonts w:ascii="Arial" w:hAnsi="Arial"/>
          <w:color w:val="D0021B"/>
          <w:sz w:val="32"/>
        </w:rPr>
        <w:t>Cómo pensamos, cómo trabajamos y cómo nos tratamos</w:t>
      </w:r>
    </w:p>
    <w:p>
      <w:pPr>
        <w:spacing w:before="1200"/>
      </w:pPr>
      <w:r>
        <w:rPr>
          <w:color w:val="555555"/>
          <w:sz w:val="22"/>
        </w:rPr>
        <w:t>Rumbo Global Consultores S.A.</w:t>
        <w:br/>
      </w:r>
      <w:r>
        <w:rPr>
          <w:color w:val="555555"/>
          <w:sz w:val="22"/>
        </w:rPr>
        <w:t>Versión 1.0 · 2026</w:t>
      </w:r>
    </w:p>
    <w:p>
      <w:r>
        <w:br w:type="page"/>
      </w:r>
    </w:p>
    <w:p>
      <w:pPr>
        <w:pStyle w:val="Heading1"/>
      </w:pPr>
      <w:r>
        <w:t>1. Quiénes somos</w:t>
      </w:r>
    </w:p>
    <w:p>
      <w:r>
        <w:rPr>
          <w:b w:val="0"/>
          <w:i w:val="0"/>
        </w:rPr>
        <w:t>Rumbo Global Consultores S.A. es una sociedad anónima argentina que ayuda a pymes y economías regionales a vender al mundo. Acompañamos todo el camino: elegir el mercado, preparar el producto, resolver la documentación, coordinar el envío y cobrar.</w:t>
      </w:r>
    </w:p>
    <w:p>
      <w:r>
        <w:rPr>
          <w:b w:val="0"/>
          <w:i w:val="0"/>
        </w:rPr>
        <w:t>Nuestro primer proyecto de gran escala es ASHAB, una marca de yerba mate argentina para Siria, Líbano, Jordania y Emiratos Árabes Unidos. Trabajar con mercados de otra cultura e idioma define buena parte de lo que somos.</w:t>
      </w:r>
    </w:p>
    <w:p>
      <w:pPr>
        <w:pStyle w:val="Heading1"/>
      </w:pPr>
      <w:r>
        <w:t>2. Misión, visión y propósito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cantSplit w:val="true"/>
        </w:trPr>
        <w:tc>
          <w:tcPr>
            <w:tcW w:type="dxa" w:w="1701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2"/>
              </w:rPr>
              <w:t>Misión</w:t>
            </w:r>
          </w:p>
        </w:tc>
        <w:tc>
          <w:tcPr>
            <w:tcW w:type="dxa" w:w="765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2"/>
              </w:rPr>
              <w:t>Hacer que exportar sea un proceso claro, ordenado y rentable para empresas que nunca lo hicieron.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/>
                <w:sz w:val="22"/>
              </w:rPr>
              <w:t>Visión</w:t>
            </w:r>
          </w:p>
        </w:tc>
        <w:tc>
          <w:tcPr>
            <w:tcW w:type="dxa" w:w="7654"/>
          </w:tcPr>
          <w:p>
            <w:pPr>
              <w:spacing w:after="0" w:line="252" w:lineRule="auto"/>
            </w:pPr>
            <w:r/>
            <w:r>
              <w:rPr>
                <w:sz w:val="22"/>
              </w:rPr>
              <w:t>Ser la consultora de referencia en comercio exterior para las economías regionales de Argentina.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2"/>
              </w:rPr>
              <w:t>Propósito</w:t>
            </w:r>
          </w:p>
        </w:tc>
        <w:tc>
          <w:tcPr>
            <w:tcW w:type="dxa" w:w="765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2"/>
              </w:rPr>
              <w:t>Que un productor de Misiones, Mendoza o Tucumán pueda ver su marca en una góndola del otro lado del mundo.</w:t>
            </w:r>
          </w:p>
        </w:tc>
      </w:tr>
    </w:tbl>
    <w:p>
      <w:pPr>
        <w:spacing w:after="80"/>
      </w:pPr>
    </w:p>
    <w:p>
      <w:pPr>
        <w:pStyle w:val="Heading1"/>
      </w:pPr>
      <w:r>
        <w:t>3. Nuestros valores en la práctica</w:t>
      </w:r>
    </w:p>
    <w:p>
      <w:r>
        <w:rPr>
          <w:b w:val="0"/>
          <w:i w:val="0"/>
        </w:rPr>
        <w:t>Un valor que no cambia lo que hacemos cada día no sirve. Por eso cada uno viene con lo que hacemos y lo que no hacemos.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969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Lo que hacemos</w:t>
            </w:r>
          </w:p>
        </w:tc>
        <w:tc>
          <w:tcPr>
            <w:tcW w:type="dxa" w:w="3572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Lo que no hacemos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Rumbo claro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Cada proyecto tiene objetivo, fecha y responsable por escrito.</w:t>
            </w:r>
          </w:p>
        </w:tc>
        <w:tc>
          <w:tcPr>
            <w:tcW w:type="dxa" w:w="3572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Empezar sin saber qué resultado se espera.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Palabra cumplida</w:t>
            </w:r>
          </w:p>
        </w:tc>
        <w:tc>
          <w:tcPr>
            <w:tcW w:type="dxa" w:w="3969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Avisamos con tiempo si algo se va a demorar y proponemos una solución.</w:t>
            </w:r>
          </w:p>
        </w:tc>
        <w:tc>
          <w:tcPr>
            <w:tcW w:type="dxa" w:w="3572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Prometer plazos que sabemos que no se cumplen.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Respeto cultural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Estudiamos costumbres, religión, idioma y calendario del país antes de contactar a un comprador.</w:t>
            </w:r>
          </w:p>
        </w:tc>
        <w:tc>
          <w:tcPr>
            <w:tcW w:type="dxa" w:w="3572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Aplicar a Medio Oriente las reglas de negocio de Argentina.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Datos, no opiniones</w:t>
            </w:r>
          </w:p>
        </w:tc>
        <w:tc>
          <w:tcPr>
            <w:tcW w:type="dxa" w:w="3969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Decidimos con cifras, fuentes y supuestos explícitos.</w:t>
            </w:r>
          </w:p>
        </w:tc>
        <w:tc>
          <w:tcPr>
            <w:tcW w:type="dxa" w:w="3572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Presentar un número sin decir de dónde sale.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Seguridad primero</w:t>
            </w:r>
          </w:p>
        </w:tc>
        <w:tc>
          <w:tcPr>
            <w:tcW w:type="dxa" w:w="3969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Cuidamos a las personas, la mercadería y la información del cliente.</w:t>
            </w:r>
          </w:p>
        </w:tc>
        <w:tc>
          <w:tcPr>
            <w:tcW w:type="dxa" w:w="3572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Saltear un control para ganar tiempo.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Mejora continua</w:t>
            </w:r>
          </w:p>
        </w:tc>
        <w:tc>
          <w:tcPr>
            <w:tcW w:type="dxa" w:w="3969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Cerramos cada proyecto con lecciones aprendidas y las usamos en el siguiente.</w:t>
            </w:r>
          </w:p>
        </w:tc>
        <w:tc>
          <w:tcPr>
            <w:tcW w:type="dxa" w:w="3572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Repetir un error ya conocido.</w:t>
            </w:r>
          </w:p>
        </w:tc>
      </w:tr>
    </w:tbl>
    <w:p>
      <w:pPr>
        <w:spacing w:after="80"/>
      </w:pPr>
    </w:p>
    <w:p>
      <w:pPr>
        <w:pStyle w:val="Heading1"/>
      </w:pPr>
      <w:r>
        <w:t>4. Cómo trabajamos juntos</w:t>
      </w:r>
    </w:p>
    <w:p>
      <w:pPr>
        <w:pStyle w:val="ListBullet"/>
        <w:spacing w:after="60"/>
      </w:pPr>
      <w:r>
        <w:rPr>
          <w:b/>
        </w:rPr>
        <w:t xml:space="preserve">Comunicación directa. </w:t>
      </w:r>
      <w:r>
        <w:t>Cada proyecto tiene un grupo de WhatsApp con el cliente y un canal interno. Respondemos en el día hábil.</w:t>
      </w:r>
    </w:p>
    <w:p>
      <w:pPr>
        <w:pStyle w:val="ListBullet"/>
        <w:spacing w:after="60"/>
      </w:pPr>
      <w:r>
        <w:rPr>
          <w:b/>
        </w:rPr>
        <w:t xml:space="preserve">Reunión semanal de 30 minutos </w:t>
      </w:r>
      <w:r>
        <w:t>por proyecto: qué se hizo, qué sigue y qué nos frena.</w:t>
      </w:r>
    </w:p>
    <w:p>
      <w:pPr>
        <w:pStyle w:val="ListBullet"/>
        <w:spacing w:after="60"/>
      </w:pPr>
      <w:r>
        <w:rPr>
          <w:b/>
        </w:rPr>
        <w:t xml:space="preserve">Todo por escrito. </w:t>
      </w:r>
      <w:r>
        <w:t>Lo que se acuerda por llamada se confirma por mensaje o correo el mismo día.</w:t>
      </w:r>
    </w:p>
    <w:p>
      <w:pPr>
        <w:pStyle w:val="ListBullet"/>
        <w:spacing w:after="60"/>
      </w:pPr>
      <w:r>
        <w:rPr>
          <w:b/>
        </w:rPr>
        <w:t xml:space="preserve">Un responsable por tarea. </w:t>
      </w:r>
      <w:r>
        <w:t>Si algo tiene dos responsables, no tiene ninguno.</w:t>
      </w:r>
    </w:p>
    <w:p>
      <w:pPr>
        <w:pStyle w:val="ListBullet"/>
        <w:spacing w:after="60"/>
      </w:pPr>
      <w:r>
        <w:rPr>
          <w:b/>
        </w:rPr>
        <w:t xml:space="preserve">Se pregunta sin miedo. </w:t>
      </w:r>
      <w:r>
        <w:t>Es mejor una pregunta de más que un embarque observado en la aduana.</w:t>
      </w:r>
    </w:p>
    <w:p>
      <w:pPr>
        <w:pStyle w:val="Heading1"/>
      </w:pPr>
      <w:r>
        <w:t>5. Código de conducta</w:t>
      </w:r>
    </w:p>
    <w:p>
      <w:pPr>
        <w:pStyle w:val="Heading2"/>
      </w:pPr>
      <w:r>
        <w:t>5.1 Ética y anticorrupción</w:t>
      </w:r>
    </w:p>
    <w:p>
      <w:pPr>
        <w:pStyle w:val="ListBullet"/>
        <w:spacing w:after="60"/>
      </w:pPr>
      <w:r>
        <w:t>No ofrecemos ni aceptamos pagos indebidos a funcionarios, aduaneros, inspectores ni compradores, en Argentina o en el exterior.</w:t>
      </w:r>
    </w:p>
    <w:p>
      <w:pPr>
        <w:pStyle w:val="ListBullet"/>
        <w:spacing w:after="60"/>
      </w:pPr>
      <w:r>
        <w:t>Los honorarios de agentes y gestores se pagan contra factura y servicio concreto.</w:t>
      </w:r>
    </w:p>
    <w:p>
      <w:pPr>
        <w:pStyle w:val="ListBullet"/>
        <w:spacing w:after="60"/>
      </w:pPr>
      <w:r>
        <w:t>Los regalos se limitan a cortesías de poco valor y se informan al responsable del proyecto.</w:t>
      </w:r>
    </w:p>
    <w:p>
      <w:pPr>
        <w:pStyle w:val="ListBullet"/>
        <w:spacing w:after="60"/>
      </w:pPr>
      <w:r>
        <w:t>Cumplimos las normas de prevención del lavado de activos y las sanciones internacionales vigentes. Antes de operar con un comprador verificamos quién es.</w:t>
      </w:r>
    </w:p>
    <w:p>
      <w:pPr>
        <w:pStyle w:val="Heading2"/>
      </w:pPr>
      <w:r>
        <w:t>5.2 Conflictos de interés</w:t>
      </w:r>
    </w:p>
    <w:p>
      <w:r>
        <w:rPr>
          <w:b w:val="0"/>
          <w:i w:val="0"/>
        </w:rPr>
        <w:t>Si una persona del equipo tiene un vínculo familiar, societario o económico con un cliente, proveedor o comprador, lo informa antes de participar de la decisión.</w:t>
      </w:r>
    </w:p>
    <w:p>
      <w:pPr>
        <w:pStyle w:val="Heading2"/>
      </w:pPr>
      <w:r>
        <w:t>5.3 Confidencialidad</w:t>
      </w:r>
    </w:p>
    <w:p>
      <w:r>
        <w:rPr>
          <w:b w:val="0"/>
          <w:i w:val="0"/>
        </w:rPr>
        <w:t>La información del cliente (costos, precios, compradores, planos de planta) es confidencial. Se comparte solo con quien la necesita para trabajar, se guarda con contraseña y se devuelve o elimina al terminar el proyecto.</w:t>
      </w:r>
    </w:p>
    <w:p>
      <w:pPr>
        <w:pStyle w:val="Heading2"/>
      </w:pPr>
      <w:r>
        <w:t>5.4 Trato respetuoso</w:t>
      </w:r>
    </w:p>
    <w:p>
      <w:r>
        <w:rPr>
          <w:b w:val="0"/>
          <w:i w:val="0"/>
        </w:rPr>
        <w:t>No toleramos el acoso, la discriminación ni las bromas que humillan. Cualquier persona puede hacer una denuncia a la Dirección General de forma confidencial y no sufrirá represalias.</w:t>
      </w:r>
    </w:p>
    <w:p>
      <w:pPr>
        <w:pStyle w:val="Heading1"/>
      </w:pPr>
      <w:r>
        <w:t>6. Trabajar con la cultura de cada mercado</w:t>
      </w:r>
    </w:p>
    <w:p>
      <w:r>
        <w:rPr>
          <w:b w:val="0"/>
          <w:i w:val="0"/>
        </w:rPr>
        <w:t>Trabajamos con cualquier país del mundo. Nuestro caso actual es Medio Oriente y por eso la tabla toma ese ejemplo, pero las mismas reglas valen para Europa, Asia, África o América: estudiar la cultura del mercado antes de contactar al comprador.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7540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Buena práctica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Relaciones</w:t>
            </w:r>
          </w:p>
        </w:tc>
        <w:tc>
          <w:tcPr>
            <w:tcW w:type="dxa" w:w="7540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El negocio empieza por la confianza personal. Se dedica tiempo a conocerse antes de hablar de precios.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Idioma</w:t>
            </w:r>
          </w:p>
        </w:tc>
        <w:tc>
          <w:tcPr>
            <w:tcW w:type="dxa" w:w="7540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Materiales comerciales en árabe e inglés. Los textos en árabe los revisa un hablante nativo.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Calendario</w:t>
            </w:r>
          </w:p>
        </w:tc>
        <w:tc>
          <w:tcPr>
            <w:tcW w:type="dxa" w:w="7540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Se respeta el viernes como día de descanso en muchos países y el mes de Ramadán, con horarios y ritmos distintos. Los embarques y reuniones se planifican con ese calendario.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Producto</w:t>
            </w:r>
          </w:p>
        </w:tc>
        <w:tc>
          <w:tcPr>
            <w:tcW w:type="dxa" w:w="7540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Etiquetas claras y, cuando corresponde, certificación halal. No se usan imágenes o textos que puedan ofender.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Trato</w:t>
            </w:r>
          </w:p>
        </w:tc>
        <w:tc>
          <w:tcPr>
            <w:tcW w:type="dxa" w:w="7540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Saludo cordial, paciencia en la negociación y cumplimiento estricto de lo acordado.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412"/>
      </w:tblGrid>
      <w:tr>
        <w:tc>
          <w:tcPr>
            <w:tcW w:type="dxa" w:w="9412"/>
            <w:shd w:val="clear" w:color="auto" w:fill="F3F3F3"/>
          </w:tcPr>
          <w:p>
            <w:pPr>
              <w:spacing w:after="0"/>
            </w:pPr>
            <w:r/>
            <w:r>
              <w:rPr>
                <w:b/>
                <w:sz w:val="21"/>
              </w:rPr>
              <w:t xml:space="preserve">Regla simple. </w:t>
            </w:r>
            <w:r>
              <w:rPr>
                <w:sz w:val="21"/>
              </w:rPr>
              <w:t>Ante la duda sobre una costumbre, preguntamos a un contacto local antes de actuar.</w:t>
            </w:r>
          </w:p>
        </w:tc>
      </w:tr>
    </w:tbl>
    <w:p>
      <w:pPr>
        <w:spacing w:after="80"/>
      </w:pPr>
    </w:p>
    <w:p>
      <w:pPr>
        <w:pStyle w:val="Heading1"/>
      </w:pPr>
      <w:r>
        <w:t>7. Equipo, formación y crecimiento</w:t>
      </w:r>
    </w:p>
    <w:p>
      <w:pPr>
        <w:pStyle w:val="ListBullet"/>
        <w:spacing w:after="60"/>
      </w:pPr>
      <w:r>
        <w:t>Capacitación anual en comercio exterior, normativa aduanera y seguros de carga.</w:t>
      </w:r>
    </w:p>
    <w:p>
      <w:pPr>
        <w:pStyle w:val="ListBullet"/>
        <w:spacing w:after="60"/>
      </w:pPr>
      <w:r>
        <w:t>Cursos de inglés y de árabe básico para quien trabaje con Medio Oriente.</w:t>
      </w:r>
    </w:p>
    <w:p>
      <w:pPr>
        <w:pStyle w:val="ListBullet"/>
        <w:spacing w:after="60"/>
      </w:pPr>
      <w:r>
        <w:t>Rotación entre áreas (comercio exterior, logística, legal, tecnología) para entender el proceso completo.</w:t>
      </w:r>
    </w:p>
    <w:p>
      <w:pPr>
        <w:pStyle w:val="ListBullet"/>
        <w:spacing w:after="60"/>
      </w:pPr>
      <w:r>
        <w:t>Cada persona tiene un plan de desarrollo que se revisa dos veces por año.</w:t>
      </w:r>
    </w:p>
    <w:p>
      <w:pPr>
        <w:pStyle w:val="Heading1"/>
      </w:pPr>
      <w:r>
        <w:t>8. Modalidad de trabajo</w:t>
      </w:r>
    </w:p>
    <w:p>
      <w:pPr>
        <w:pStyle w:val="ListBullet"/>
        <w:spacing w:after="60"/>
      </w:pPr>
      <w:r>
        <w:t>Esquema híbrido: presencial en reuniones clave y trabajo remoto el resto.</w:t>
      </w:r>
    </w:p>
    <w:p>
      <w:pPr>
        <w:pStyle w:val="ListBullet"/>
        <w:spacing w:after="60"/>
      </w:pPr>
      <w:r>
        <w:t>Horario base de 9 a 18 con flexibilidad. Durante embarques críticos hay guardia rotativa acordada con anticipación y compensada.</w:t>
      </w:r>
    </w:p>
    <w:p>
      <w:pPr>
        <w:pStyle w:val="ListBullet"/>
        <w:spacing w:after="60"/>
      </w:pPr>
      <w:r>
        <w:t>Descansos respetados: no se esperan respuestas fuera de horario salvo urgencias de embarque.</w:t>
      </w:r>
    </w:p>
    <w:p>
      <w:pPr>
        <w:pStyle w:val="ListBullet"/>
        <w:spacing w:after="60"/>
      </w:pPr>
      <w:r>
        <w:t>Puesto de trabajo seguro: silla y pantalla regulables, pausas activas cada dos horas y botiquín disponible.</w:t>
      </w:r>
    </w:p>
    <w:p>
      <w:pPr>
        <w:pStyle w:val="Heading1"/>
      </w:pPr>
      <w:r>
        <w:t>9. Rituales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Ritual</w:t>
            </w:r>
          </w:p>
        </w:tc>
        <w:tc>
          <w:tcPr>
            <w:tcW w:type="dxa" w:w="2268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Cuándo</w:t>
            </w:r>
          </w:p>
        </w:tc>
        <w:tc>
          <w:tcPr>
            <w:tcW w:type="dxa" w:w="4252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0"/>
              </w:rPr>
              <w:t>Para qué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Kick-off del proyecto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Al firmar el contrato</w:t>
            </w:r>
          </w:p>
        </w:tc>
        <w:tc>
          <w:tcPr>
            <w:tcW w:type="dxa" w:w="4252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Alinear objetivo, equipo y fechas con el cliente.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Reunión semanal</w:t>
            </w:r>
          </w:p>
        </w:tc>
        <w:tc>
          <w:tcPr>
            <w:tcW w:type="dxa" w:w="226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Todas las semanas</w:t>
            </w:r>
          </w:p>
        </w:tc>
        <w:tc>
          <w:tcPr>
            <w:tcW w:type="dxa" w:w="4252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Seguir avances y destrabar problemas.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Revisión mensual de resultados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Fin de mes</w:t>
            </w:r>
          </w:p>
        </w:tc>
        <w:tc>
          <w:tcPr>
            <w:tcW w:type="dxa" w:w="4252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Mirar indicadores y decidir ajustes.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Cierre con lecciones aprendidas</w:t>
            </w:r>
          </w:p>
        </w:tc>
        <w:tc>
          <w:tcPr>
            <w:tcW w:type="dxa" w:w="226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Al terminar cada proyecto</w:t>
            </w:r>
          </w:p>
        </w:tc>
        <w:tc>
          <w:tcPr>
            <w:tcW w:type="dxa" w:w="4252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Registrar qué funcionó y qué no.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 w:line="252" w:lineRule="auto"/>
            </w:pPr>
            <w:r/>
            <w:r>
              <w:rPr>
                <w:b/>
                <w:sz w:val="20"/>
              </w:rPr>
              <w:t>Mate de los viernes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Cada viernes</w:t>
            </w:r>
          </w:p>
        </w:tc>
        <w:tc>
          <w:tcPr>
            <w:tcW w:type="dxa" w:w="4252"/>
          </w:tcPr>
          <w:p>
            <w:pPr>
              <w:spacing w:after="0" w:line="252" w:lineRule="auto"/>
            </w:pPr>
            <w:r/>
            <w:r>
              <w:rPr>
                <w:sz w:val="20"/>
              </w:rPr>
              <w:t>Compartir un mate (con yerba de nuestros clientes) y conocernos mejor.</w:t>
            </w:r>
          </w:p>
        </w:tc>
      </w:tr>
    </w:tbl>
    <w:p>
      <w:pPr>
        <w:spacing w:after="80"/>
      </w:pPr>
    </w:p>
    <w:p>
      <w:pPr>
        <w:pStyle w:val="Heading1"/>
      </w:pPr>
      <w:r>
        <w:t>10. Cómo medimos nuestra cultura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6236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Indicador</w:t>
            </w:r>
          </w:p>
        </w:tc>
        <w:tc>
          <w:tcPr>
            <w:tcW w:type="dxa" w:w="3118"/>
            <w:shd w:val="clear" w:color="auto" w:fill="111111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Meta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Proyectos entregados en fecha</w:t>
            </w:r>
          </w:p>
        </w:tc>
        <w:tc>
          <w:tcPr>
            <w:tcW w:type="dxa" w:w="3118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90 % o más</w:t>
            </w:r>
          </w:p>
        </w:tc>
      </w:tr>
      <w:tr>
        <w:trPr>
          <w:cantSplit w:val="true"/>
        </w:trPr>
        <w:tc>
          <w:tcPr>
            <w:tcW w:type="dxa" w:w="6236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Satisfacción del cliente (encuesta al cierre)</w:t>
            </w:r>
          </w:p>
        </w:tc>
        <w:tc>
          <w:tcPr>
            <w:tcW w:type="dxa" w:w="311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4,5 sobre 5 o más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Clima laboral (encuesta anual anónima)</w:t>
            </w:r>
          </w:p>
        </w:tc>
        <w:tc>
          <w:tcPr>
            <w:tcW w:type="dxa" w:w="3118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80 % o más de respuestas positivas</w:t>
            </w:r>
          </w:p>
        </w:tc>
      </w:tr>
      <w:tr>
        <w:trPr>
          <w:cantSplit w:val="true"/>
        </w:trPr>
        <w:tc>
          <w:tcPr>
            <w:tcW w:type="dxa" w:w="6236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Capacitación por persona</w:t>
            </w:r>
          </w:p>
        </w:tc>
        <w:tc>
          <w:tcPr>
            <w:tcW w:type="dxa" w:w="3118"/>
            <w:shd w:val="clear" w:color="auto" w:fill="F3F3F3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40 horas por año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Incidentes de ética o confidencialidad</w:t>
            </w:r>
          </w:p>
        </w:tc>
        <w:tc>
          <w:tcPr>
            <w:tcW w:type="dxa" w:w="3118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Cero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 xml:space="preserve">Rumbo Global Consultores S.A. · Cultura de la consultora  ·  Página </w:t>
    </w:r>
    <w:r>
      <w:rPr>
        <w:color w:val="777777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D0021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