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rFonts w:ascii="Cambria" w:hAnsi="Cambria"/>
          <w:b/>
          <w:color w:val="1F4D3A"/>
          <w:sz w:val="68"/>
        </w:rPr>
        <w:t>Costo del proyecto</w:t>
      </w:r>
    </w:p>
    <w:p>
      <w:r>
        <w:rPr>
          <w:rFonts w:ascii="Cambria" w:hAnsi="Cambria"/>
          <w:color w:val="8A6A00"/>
          <w:sz w:val="32"/>
        </w:rPr>
        <w:t>Proyecto ASHAB · exportación de yerba mate a Medio Oriente</w:t>
      </w:r>
    </w:p>
    <w:p>
      <w:pPr>
        <w:spacing w:before="1200"/>
      </w:pPr>
      <w:r>
        <w:rPr>
          <w:color w:val="555555"/>
          <w:sz w:val="22"/>
        </w:rPr>
        <w:t>Versión 1.0 · 2026</w:t>
        <w:br/>
      </w:r>
      <w:r>
        <w:rPr>
          <w:color w:val="555555"/>
          <w:sz w:val="22"/>
        </w:rPr>
        <w:t>Preparado por Rumbo Global Consultores S.A.</w:t>
        <w:br/>
      </w:r>
      <w:r>
        <w:rPr>
          <w:color w:val="555555"/>
          <w:sz w:val="22"/>
        </w:rPr>
        <w:t>Planilla de cálculo asociada: Costos_del_Proyecto_ASHAB.xlsx</w:t>
      </w:r>
    </w:p>
    <w:p>
      <w:r>
        <w:br w:type="page"/>
      </w:r>
    </w:p>
    <w:p>
      <w:pPr>
        <w:pStyle w:val="Heading1"/>
      </w:pPr>
      <w:r>
        <w:t>1. Resumen</w:t>
      </w:r>
    </w:p>
    <w:p>
      <w:r>
        <w:rPr>
          <w:b w:val="0"/>
          <w:i w:val="0"/>
        </w:rPr>
        <w:t>Exportar yerba mate con marca propia a Siria, Líbano, Jordania y Emiratos requiere una inversión inicial de USD 75.810 y un capital de trabajo de USD 40.282 para financiar los dos primeros contenedores, gracias a la seña obligatoria del 50 % (sin seña haría falta USD 101.482). La necesidad máxima de financiamiento es de USD 116.092, que se recupera a medida que se cobran los embarques.</w:t>
      </w:r>
    </w:p>
    <w:tbl>
      <w:tblPr>
        <w:tblW w:type="auto" w:w="0"/>
        <w:jc w:val="center"/>
        <w:tblLayout w:type="fixed"/>
        <w:tblLook w:firstColumn="1" w:firstRow="1" w:lastColumn="0" w:lastRow="0" w:noHBand="0" w:noVBand="1" w:val="04A0"/>
        <w:tblBorders>
          <w:top w:val="single" w:sz="4" w:color="C8D3CB"/>
          <w:left w:val="single" w:sz="4" w:color="C8D3CB"/>
          <w:bottom w:val="single" w:sz="4" w:color="C8D3CB"/>
          <w:right w:val="single" w:sz="4" w:color="C8D3CB"/>
          <w:insideH w:val="single" w:sz="4" w:color="C8D3CB"/>
          <w:insideV w:val="single" w:sz="4" w:color="C8D3CB"/>
        </w:tblBorders>
        <w:tblCellMar>
          <w:top w:w="60" w:type="dxa"/>
          <w:left w:w="100" w:type="dxa"/>
          <w:bottom w:w="60" w:type="dxa"/>
          <w:right w:w="100" w:type="dxa"/>
        </w:tblCellMar>
      </w:tblPr>
      <w:tblGrid>
        <w:gridCol w:w="4706"/>
        <w:gridCol w:w="4706"/>
      </w:tblGrid>
      <w:tr>
        <w:trPr>
          <w:tblHeader w:val="true"/>
          <w:cantSplit w:val="true"/>
        </w:trPr>
        <w:tc>
          <w:tcPr>
            <w:tcW w:type="dxa" w:w="5669"/>
            <w:shd w:val="clear" w:color="auto" w:fill="1F4D3A"/>
          </w:tcPr>
          <w:p>
            <w:pPr>
              <w:spacing w:after="0" w:line="252" w:lineRule="auto"/>
            </w:pPr>
            <w:r/>
            <w:r>
              <w:rPr>
                <w:b/>
                <w:color w:val="FFFFFF"/>
                <w:sz w:val="21"/>
              </w:rPr>
              <w:t>Indicador</w:t>
            </w:r>
          </w:p>
        </w:tc>
        <w:tc>
          <w:tcPr>
            <w:tcW w:type="dxa" w:w="3685"/>
            <w:shd w:val="clear" w:color="auto" w:fill="1F4D3A"/>
          </w:tcPr>
          <w:p>
            <w:pPr>
              <w:spacing w:after="0" w:line="252" w:lineRule="auto"/>
            </w:pPr>
            <w:r/>
            <w:r>
              <w:rPr>
                <w:b/>
                <w:color w:val="FFFFFF"/>
                <w:sz w:val="21"/>
              </w:rPr>
              <w:t>Valor</w:t>
            </w:r>
          </w:p>
        </w:tc>
      </w:tr>
      <w:tr>
        <w:trPr>
          <w:cantSplit w:val="true"/>
        </w:trPr>
        <w:tc>
          <w:tcPr>
            <w:tcW w:type="dxa" w:w="5669"/>
          </w:tcPr>
          <w:p>
            <w:pPr>
              <w:spacing w:after="0" w:line="252" w:lineRule="auto"/>
            </w:pPr>
            <w:r/>
            <w:r>
              <w:rPr>
                <w:b/>
                <w:sz w:val="21"/>
              </w:rPr>
              <w:t>Inversión inicial (una sola vez)</w:t>
            </w:r>
          </w:p>
        </w:tc>
        <w:tc>
          <w:tcPr>
            <w:tcW w:type="dxa" w:w="3685"/>
          </w:tcPr>
          <w:p>
            <w:pPr>
              <w:spacing w:after="0" w:line="252" w:lineRule="auto"/>
            </w:pPr>
            <w:r/>
            <w:r>
              <w:rPr>
                <w:sz w:val="21"/>
              </w:rPr>
              <w:t>USD 75.810</w:t>
            </w:r>
          </w:p>
        </w:tc>
      </w:tr>
      <w:tr>
        <w:trPr>
          <w:cantSplit w:val="true"/>
        </w:trPr>
        <w:tc>
          <w:tcPr>
            <w:tcW w:type="dxa" w:w="5669"/>
            <w:shd w:val="clear" w:color="auto" w:fill="F3F7F4"/>
          </w:tcPr>
          <w:p>
            <w:pPr>
              <w:spacing w:after="0" w:line="252" w:lineRule="auto"/>
            </w:pPr>
            <w:r/>
            <w:r>
              <w:rPr>
                <w:b/>
                <w:sz w:val="21"/>
              </w:rPr>
              <w:t>Capital de trabajo con seña del 50 % (2 contenedores)</w:t>
            </w:r>
          </w:p>
        </w:tc>
        <w:tc>
          <w:tcPr>
            <w:tcW w:type="dxa" w:w="3685"/>
            <w:shd w:val="clear" w:color="auto" w:fill="F3F7F4"/>
          </w:tcPr>
          <w:p>
            <w:pPr>
              <w:spacing w:after="0" w:line="252" w:lineRule="auto"/>
            </w:pPr>
            <w:r/>
            <w:r>
              <w:rPr>
                <w:sz w:val="21"/>
              </w:rPr>
              <w:t>USD 40.282</w:t>
            </w:r>
          </w:p>
        </w:tc>
      </w:tr>
      <w:tr>
        <w:trPr>
          <w:cantSplit w:val="true"/>
        </w:trPr>
        <w:tc>
          <w:tcPr>
            <w:tcW w:type="dxa" w:w="5669"/>
          </w:tcPr>
          <w:p>
            <w:pPr>
              <w:spacing w:after="0" w:line="252" w:lineRule="auto"/>
            </w:pPr>
            <w:r/>
            <w:r>
              <w:rPr>
                <w:b/>
                <w:sz w:val="21"/>
              </w:rPr>
              <w:t>Necesidad máxima de financiamiento</w:t>
            </w:r>
          </w:p>
        </w:tc>
        <w:tc>
          <w:tcPr>
            <w:tcW w:type="dxa" w:w="3685"/>
          </w:tcPr>
          <w:p>
            <w:pPr>
              <w:spacing w:after="0" w:line="252" w:lineRule="auto"/>
            </w:pPr>
            <w:r/>
            <w:r>
              <w:rPr>
                <w:sz w:val="21"/>
              </w:rPr>
              <w:t>USD 116.092</w:t>
            </w:r>
          </w:p>
        </w:tc>
      </w:tr>
      <w:tr>
        <w:trPr>
          <w:cantSplit w:val="true"/>
        </w:trPr>
        <w:tc>
          <w:tcPr>
            <w:tcW w:type="dxa" w:w="5669"/>
            <w:shd w:val="clear" w:color="auto" w:fill="F3F7F4"/>
          </w:tcPr>
          <w:p>
            <w:pPr>
              <w:spacing w:after="0" w:line="252" w:lineRule="auto"/>
            </w:pPr>
            <w:r/>
            <w:r>
              <w:rPr>
                <w:b/>
                <w:sz w:val="21"/>
              </w:rPr>
              <w:t>Costo total por contenedor de 40' (24 t)</w:t>
            </w:r>
          </w:p>
        </w:tc>
        <w:tc>
          <w:tcPr>
            <w:tcW w:type="dxa" w:w="3685"/>
            <w:shd w:val="clear" w:color="auto" w:fill="F3F7F4"/>
          </w:tcPr>
          <w:p>
            <w:pPr>
              <w:spacing w:after="0" w:line="252" w:lineRule="auto"/>
            </w:pPr>
            <w:r/>
            <w:r>
              <w:rPr>
                <w:sz w:val="21"/>
              </w:rPr>
              <w:t>USD 50.741</w:t>
            </w:r>
          </w:p>
        </w:tc>
      </w:tr>
      <w:tr>
        <w:trPr>
          <w:cantSplit w:val="true"/>
        </w:trPr>
        <w:tc>
          <w:tcPr>
            <w:tcW w:type="dxa" w:w="5669"/>
          </w:tcPr>
          <w:p>
            <w:pPr>
              <w:spacing w:after="0" w:line="252" w:lineRule="auto"/>
            </w:pPr>
            <w:r/>
            <w:r>
              <w:rPr>
                <w:b/>
                <w:sz w:val="21"/>
              </w:rPr>
              <w:t>Venta por contenedor (CIF)</w:t>
            </w:r>
          </w:p>
        </w:tc>
        <w:tc>
          <w:tcPr>
            <w:tcW w:type="dxa" w:w="3685"/>
          </w:tcPr>
          <w:p>
            <w:pPr>
              <w:spacing w:after="0" w:line="252" w:lineRule="auto"/>
            </w:pPr>
            <w:r/>
            <w:r>
              <w:rPr>
                <w:sz w:val="21"/>
              </w:rPr>
              <w:t>USD 61.200</w:t>
            </w:r>
          </w:p>
        </w:tc>
      </w:tr>
      <w:tr>
        <w:trPr>
          <w:cantSplit w:val="true"/>
        </w:trPr>
        <w:tc>
          <w:tcPr>
            <w:tcW w:type="dxa" w:w="5669"/>
            <w:shd w:val="clear" w:color="auto" w:fill="F3F7F4"/>
          </w:tcPr>
          <w:p>
            <w:pPr>
              <w:spacing w:after="0" w:line="252" w:lineRule="auto"/>
            </w:pPr>
            <w:r/>
            <w:r>
              <w:rPr>
                <w:b/>
                <w:sz w:val="21"/>
              </w:rPr>
              <w:t>Margen neto por contenedor</w:t>
            </w:r>
          </w:p>
        </w:tc>
        <w:tc>
          <w:tcPr>
            <w:tcW w:type="dxa" w:w="3685"/>
            <w:shd w:val="clear" w:color="auto" w:fill="F3F7F4"/>
          </w:tcPr>
          <w:p>
            <w:pPr>
              <w:spacing w:after="0" w:line="252" w:lineRule="auto"/>
            </w:pPr>
            <w:r/>
            <w:r>
              <w:rPr>
                <w:sz w:val="21"/>
              </w:rPr>
              <w:t>USD 10,459 (17,1 %)</w:t>
            </w:r>
          </w:p>
        </w:tc>
      </w:tr>
      <w:tr>
        <w:trPr>
          <w:cantSplit w:val="true"/>
        </w:trPr>
        <w:tc>
          <w:tcPr>
            <w:tcW w:type="dxa" w:w="5669"/>
          </w:tcPr>
          <w:p>
            <w:pPr>
              <w:spacing w:after="0" w:line="252" w:lineRule="auto"/>
            </w:pPr>
            <w:r/>
            <w:r>
              <w:rPr>
                <w:b/>
                <w:sz w:val="21"/>
              </w:rPr>
              <w:t>Recuperación de la inversión</w:t>
            </w:r>
          </w:p>
        </w:tc>
        <w:tc>
          <w:tcPr>
            <w:tcW w:type="dxa" w:w="3685"/>
          </w:tcPr>
          <w:p>
            <w:pPr>
              <w:spacing w:after="0" w:line="252" w:lineRule="auto"/>
            </w:pPr>
            <w:r/>
            <w:r>
              <w:rPr>
                <w:sz w:val="21"/>
              </w:rPr>
              <w:t>alrededor de 13 meses desde el inicio</w:t>
            </w:r>
          </w:p>
        </w:tc>
      </w:tr>
      <w:tr>
        <w:trPr>
          <w:cantSplit w:val="true"/>
        </w:trPr>
        <w:tc>
          <w:tcPr>
            <w:tcW w:type="dxa" w:w="5669"/>
            <w:shd w:val="clear" w:color="auto" w:fill="F3F7F4"/>
          </w:tcPr>
          <w:p>
            <w:pPr>
              <w:spacing w:after="0" w:line="252" w:lineRule="auto"/>
            </w:pPr>
            <w:r/>
            <w:r>
              <w:rPr>
                <w:b/>
                <w:sz w:val="21"/>
              </w:rPr>
              <w:t>Flujo acumulado a 3 años (caso base)</w:t>
            </w:r>
          </w:p>
        </w:tc>
        <w:tc>
          <w:tcPr>
            <w:tcW w:type="dxa" w:w="3685"/>
            <w:shd w:val="clear" w:color="auto" w:fill="F3F7F4"/>
          </w:tcPr>
          <w:p>
            <w:pPr>
              <w:spacing w:after="0" w:line="252" w:lineRule="auto"/>
            </w:pPr>
            <w:r/>
            <w:r>
              <w:rPr>
                <w:sz w:val="21"/>
              </w:rPr>
              <w:t>USD 331.182</w:t>
            </w:r>
          </w:p>
        </w:tc>
      </w:tr>
    </w:tbl>
    <w:p>
      <w:pPr>
        <w:spacing w:after="80"/>
      </w:pP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CellMar>
          <w:top w:w="100" w:type="dxa"/>
          <w:left w:w="160" w:type="dxa"/>
          <w:bottom w:w="100" w:type="dxa"/>
          <w:right w:w="160" w:type="dxa"/>
        </w:tblCellMar>
      </w:tblPr>
      <w:tblGrid>
        <w:gridCol w:w="9412"/>
      </w:tblGrid>
      <w:tr>
        <w:tc>
          <w:tcPr>
            <w:tcW w:type="dxa" w:w="9412"/>
            <w:shd w:val="clear" w:color="auto" w:fill="FFF4D6"/>
          </w:tcPr>
          <w:p>
            <w:pPr>
              <w:spacing w:after="0"/>
            </w:pPr>
            <w:r/>
            <w:r>
              <w:rPr>
                <w:b/>
                <w:sz w:val="21"/>
              </w:rPr>
              <w:t xml:space="preserve">Cómo leer los números. </w:t>
            </w:r>
            <w:r>
              <w:rPr>
                <w:sz w:val="21"/>
              </w:rPr>
              <w:t>Son estimaciones para evaluar el proyecto. Los precios de la yerbatera, el flete marítimo y los aranceles deben confirmarse con cotizaciones reales antes de comprometer fondos. Todo el modelo se recalcula cambiando las celdas azules de la hoja «Supuestos» del Excel.</w:t>
            </w:r>
          </w:p>
        </w:tc>
      </w:tr>
    </w:tbl>
    <w:p>
      <w:pPr>
        <w:spacing w:after="80"/>
      </w:pPr>
    </w:p>
    <w:p>
      <w:pPr>
        <w:pStyle w:val="Heading1"/>
      </w:pPr>
      <w:r>
        <w:t>2. Supuestos principales</w:t>
      </w:r>
    </w:p>
    <w:tbl>
      <w:tblPr>
        <w:tblW w:type="auto" w:w="0"/>
        <w:jc w:val="center"/>
        <w:tblLayout w:type="fixed"/>
        <w:tblLook w:firstColumn="1" w:firstRow="1" w:lastColumn="0" w:lastRow="0" w:noHBand="0" w:noVBand="1" w:val="04A0"/>
        <w:tblBorders>
          <w:top w:val="single" w:sz="4" w:color="C8D3CB"/>
          <w:left w:val="single" w:sz="4" w:color="C8D3CB"/>
          <w:bottom w:val="single" w:sz="4" w:color="C8D3CB"/>
          <w:right w:val="single" w:sz="4" w:color="C8D3CB"/>
          <w:insideH w:val="single" w:sz="4" w:color="C8D3CB"/>
          <w:insideV w:val="single" w:sz="4" w:color="C8D3CB"/>
        </w:tblBorders>
        <w:tblCellMar>
          <w:top w:w="60" w:type="dxa"/>
          <w:left w:w="100" w:type="dxa"/>
          <w:bottom w:w="60" w:type="dxa"/>
          <w:right w:w="100" w:type="dxa"/>
        </w:tblCellMar>
      </w:tblPr>
      <w:tblGrid>
        <w:gridCol w:w="4706"/>
        <w:gridCol w:w="4706"/>
      </w:tblGrid>
      <w:tr>
        <w:trPr>
          <w:tblHeader w:val="true"/>
          <w:cantSplit w:val="true"/>
        </w:trPr>
        <w:tc>
          <w:tcPr>
            <w:tcW w:type="dxa" w:w="6520"/>
            <w:shd w:val="clear" w:color="auto" w:fill="1F4D3A"/>
          </w:tcPr>
          <w:p>
            <w:pPr>
              <w:spacing w:after="0" w:line="252" w:lineRule="auto"/>
            </w:pPr>
            <w:r/>
            <w:r>
              <w:rPr>
                <w:b/>
                <w:color w:val="FFFFFF"/>
                <w:sz w:val="20"/>
              </w:rPr>
              <w:t>Supuesto</w:t>
            </w:r>
          </w:p>
        </w:tc>
        <w:tc>
          <w:tcPr>
            <w:tcW w:type="dxa" w:w="2835"/>
            <w:shd w:val="clear" w:color="auto" w:fill="1F4D3A"/>
          </w:tcPr>
          <w:p>
            <w:pPr>
              <w:spacing w:after="0" w:line="252" w:lineRule="auto"/>
            </w:pPr>
            <w:r/>
            <w:r>
              <w:rPr>
                <w:b/>
                <w:color w:val="FFFFFF"/>
                <w:sz w:val="20"/>
              </w:rPr>
              <w:t>Valor</w:t>
            </w:r>
          </w:p>
        </w:tc>
      </w:tr>
      <w:tr>
        <w:trPr>
          <w:cantSplit w:val="true"/>
        </w:trPr>
        <w:tc>
          <w:tcPr>
            <w:tcW w:type="dxa" w:w="6520"/>
          </w:tcPr>
          <w:p>
            <w:pPr>
              <w:spacing w:after="0" w:line="252" w:lineRule="auto"/>
            </w:pPr>
            <w:r/>
            <w:r>
              <w:rPr>
                <w:sz w:val="20"/>
              </w:rPr>
              <w:t>Tipo de cambio ARS por USD</w:t>
            </w:r>
          </w:p>
        </w:tc>
        <w:tc>
          <w:tcPr>
            <w:tcW w:type="dxa" w:w="2835"/>
          </w:tcPr>
          <w:p>
            <w:pPr>
              <w:spacing w:after="0" w:line="252" w:lineRule="auto"/>
              <w:jc w:val="right"/>
            </w:pPr>
            <w:r/>
            <w:r>
              <w:rPr>
                <w:sz w:val="20"/>
              </w:rPr>
              <w:t>1.450</w:t>
            </w:r>
          </w:p>
        </w:tc>
      </w:tr>
      <w:tr>
        <w:trPr>
          <w:cantSplit w:val="true"/>
        </w:trPr>
        <w:tc>
          <w:tcPr>
            <w:tcW w:type="dxa" w:w="6520"/>
            <w:shd w:val="clear" w:color="auto" w:fill="F3F7F4"/>
          </w:tcPr>
          <w:p>
            <w:pPr>
              <w:spacing w:after="0" w:line="252" w:lineRule="auto"/>
            </w:pPr>
            <w:r/>
            <w:r>
              <w:rPr>
                <w:sz w:val="20"/>
              </w:rPr>
              <w:t>Seña obligatoria para confirmar el pedido (% de la venta)</w:t>
            </w:r>
          </w:p>
        </w:tc>
        <w:tc>
          <w:tcPr>
            <w:tcW w:type="dxa" w:w="2835"/>
            <w:shd w:val="clear" w:color="auto" w:fill="F3F7F4"/>
          </w:tcPr>
          <w:p>
            <w:pPr>
              <w:spacing w:after="0" w:line="252" w:lineRule="auto"/>
              <w:jc w:val="right"/>
            </w:pPr>
            <w:r/>
            <w:r>
              <w:rPr>
                <w:sz w:val="20"/>
              </w:rPr>
              <w:t>50,0 %</w:t>
            </w:r>
          </w:p>
        </w:tc>
      </w:tr>
      <w:tr>
        <w:trPr>
          <w:cantSplit w:val="true"/>
        </w:trPr>
        <w:tc>
          <w:tcPr>
            <w:tcW w:type="dxa" w:w="6520"/>
          </w:tcPr>
          <w:p>
            <w:pPr>
              <w:spacing w:after="0" w:line="252" w:lineRule="auto"/>
            </w:pPr>
            <w:r/>
            <w:r>
              <w:rPr>
                <w:sz w:val="20"/>
              </w:rPr>
              <w:t>Kg netos por contenedor 40'</w:t>
            </w:r>
          </w:p>
        </w:tc>
        <w:tc>
          <w:tcPr>
            <w:tcW w:type="dxa" w:w="2835"/>
          </w:tcPr>
          <w:p>
            <w:pPr>
              <w:spacing w:after="0" w:line="252" w:lineRule="auto"/>
              <w:jc w:val="right"/>
            </w:pPr>
            <w:r/>
            <w:r>
              <w:rPr>
                <w:sz w:val="20"/>
              </w:rPr>
              <w:t>24.000</w:t>
            </w:r>
          </w:p>
        </w:tc>
      </w:tr>
      <w:tr>
        <w:trPr>
          <w:cantSplit w:val="true"/>
        </w:trPr>
        <w:tc>
          <w:tcPr>
            <w:tcW w:type="dxa" w:w="6520"/>
            <w:shd w:val="clear" w:color="auto" w:fill="F3F7F4"/>
          </w:tcPr>
          <w:p>
            <w:pPr>
              <w:spacing w:after="0" w:line="252" w:lineRule="auto"/>
            </w:pPr>
            <w:r/>
            <w:r>
              <w:rPr>
                <w:sz w:val="20"/>
              </w:rPr>
              <w:t>Costo yerba empacada en planta (USD/kg)</w:t>
            </w:r>
          </w:p>
        </w:tc>
        <w:tc>
          <w:tcPr>
            <w:tcW w:type="dxa" w:w="2835"/>
            <w:shd w:val="clear" w:color="auto" w:fill="F3F7F4"/>
          </w:tcPr>
          <w:p>
            <w:pPr>
              <w:spacing w:after="0" w:line="252" w:lineRule="auto"/>
              <w:jc w:val="right"/>
            </w:pPr>
            <w:r/>
            <w:r>
              <w:rPr>
                <w:sz w:val="20"/>
              </w:rPr>
              <w:t>USD 1,55</w:t>
            </w:r>
          </w:p>
        </w:tc>
      </w:tr>
      <w:tr>
        <w:trPr>
          <w:cantSplit w:val="true"/>
        </w:trPr>
        <w:tc>
          <w:tcPr>
            <w:tcW w:type="dxa" w:w="6520"/>
          </w:tcPr>
          <w:p>
            <w:pPr>
              <w:spacing w:after="0" w:line="252" w:lineRule="auto"/>
            </w:pPr>
            <w:r/>
            <w:r>
              <w:rPr>
                <w:sz w:val="20"/>
              </w:rPr>
              <w:t>Packaging de marca ASHAB bilingüe (USD/kg)</w:t>
            </w:r>
          </w:p>
        </w:tc>
        <w:tc>
          <w:tcPr>
            <w:tcW w:type="dxa" w:w="2835"/>
          </w:tcPr>
          <w:p>
            <w:pPr>
              <w:spacing w:after="0" w:line="252" w:lineRule="auto"/>
              <w:jc w:val="right"/>
            </w:pPr>
            <w:r/>
            <w:r>
              <w:rPr>
                <w:sz w:val="20"/>
              </w:rPr>
              <w:t>USD 0,10</w:t>
            </w:r>
          </w:p>
        </w:tc>
      </w:tr>
      <w:tr>
        <w:trPr>
          <w:cantSplit w:val="true"/>
        </w:trPr>
        <w:tc>
          <w:tcPr>
            <w:tcW w:type="dxa" w:w="6520"/>
            <w:shd w:val="clear" w:color="auto" w:fill="F3F7F4"/>
          </w:tcPr>
          <w:p>
            <w:pPr>
              <w:spacing w:after="0" w:line="252" w:lineRule="auto"/>
            </w:pPr>
            <w:r/>
            <w:r>
              <w:rPr>
                <w:sz w:val="20"/>
              </w:rPr>
              <w:t>Flete interno Misiones a Buenos Aires (USD/contenedor)</w:t>
            </w:r>
          </w:p>
        </w:tc>
        <w:tc>
          <w:tcPr>
            <w:tcW w:type="dxa" w:w="2835"/>
            <w:shd w:val="clear" w:color="auto" w:fill="F3F7F4"/>
          </w:tcPr>
          <w:p>
            <w:pPr>
              <w:spacing w:after="0" w:line="252" w:lineRule="auto"/>
              <w:jc w:val="right"/>
            </w:pPr>
            <w:r/>
            <w:r>
              <w:rPr>
                <w:sz w:val="20"/>
              </w:rPr>
              <w:t>USD 2.400</w:t>
            </w:r>
          </w:p>
        </w:tc>
      </w:tr>
      <w:tr>
        <w:trPr>
          <w:cantSplit w:val="true"/>
        </w:trPr>
        <w:tc>
          <w:tcPr>
            <w:tcW w:type="dxa" w:w="6520"/>
          </w:tcPr>
          <w:p>
            <w:pPr>
              <w:spacing w:after="0" w:line="252" w:lineRule="auto"/>
            </w:pPr>
            <w:r/>
            <w:r>
              <w:rPr>
                <w:sz w:val="20"/>
              </w:rPr>
              <w:t>Gastos de exportación (USD/contenedor)</w:t>
            </w:r>
          </w:p>
        </w:tc>
        <w:tc>
          <w:tcPr>
            <w:tcW w:type="dxa" w:w="2835"/>
          </w:tcPr>
          <w:p>
            <w:pPr>
              <w:spacing w:after="0" w:line="252" w:lineRule="auto"/>
              <w:jc w:val="right"/>
            </w:pPr>
            <w:r/>
            <w:r>
              <w:rPr>
                <w:sz w:val="20"/>
              </w:rPr>
              <w:t>USD 1.600</w:t>
            </w:r>
          </w:p>
        </w:tc>
      </w:tr>
      <w:tr>
        <w:trPr>
          <w:cantSplit w:val="true"/>
        </w:trPr>
        <w:tc>
          <w:tcPr>
            <w:tcW w:type="dxa" w:w="6520"/>
            <w:shd w:val="clear" w:color="auto" w:fill="F3F7F4"/>
          </w:tcPr>
          <w:p>
            <w:pPr>
              <w:spacing w:after="0" w:line="252" w:lineRule="auto"/>
            </w:pPr>
            <w:r/>
            <w:r>
              <w:rPr>
                <w:sz w:val="20"/>
              </w:rPr>
              <w:t>Flete marítimo Buenos Aires a Beirut/Jebel Ali (USD/contenedor)</w:t>
            </w:r>
          </w:p>
        </w:tc>
        <w:tc>
          <w:tcPr>
            <w:tcW w:type="dxa" w:w="2835"/>
            <w:shd w:val="clear" w:color="auto" w:fill="F3F7F4"/>
          </w:tcPr>
          <w:p>
            <w:pPr>
              <w:spacing w:after="0" w:line="252" w:lineRule="auto"/>
              <w:jc w:val="right"/>
            </w:pPr>
            <w:r/>
            <w:r>
              <w:rPr>
                <w:sz w:val="20"/>
              </w:rPr>
              <w:t>USD 4.200</w:t>
            </w:r>
          </w:p>
        </w:tc>
      </w:tr>
      <w:tr>
        <w:trPr>
          <w:cantSplit w:val="true"/>
        </w:trPr>
        <w:tc>
          <w:tcPr>
            <w:tcW w:type="dxa" w:w="6520"/>
          </w:tcPr>
          <w:p>
            <w:pPr>
              <w:spacing w:after="0" w:line="252" w:lineRule="auto"/>
            </w:pPr>
            <w:r/>
            <w:r>
              <w:rPr>
                <w:sz w:val="20"/>
              </w:rPr>
              <w:t>Prima de seguro de carga (% del valor asegurado)</w:t>
            </w:r>
          </w:p>
        </w:tc>
        <w:tc>
          <w:tcPr>
            <w:tcW w:type="dxa" w:w="2835"/>
          </w:tcPr>
          <w:p>
            <w:pPr>
              <w:spacing w:after="0" w:line="252" w:lineRule="auto"/>
              <w:jc w:val="right"/>
            </w:pPr>
            <w:r/>
            <w:r>
              <w:rPr>
                <w:sz w:val="20"/>
              </w:rPr>
              <w:t>0,6 %</w:t>
            </w:r>
          </w:p>
        </w:tc>
      </w:tr>
      <w:tr>
        <w:trPr>
          <w:cantSplit w:val="true"/>
        </w:trPr>
        <w:tc>
          <w:tcPr>
            <w:tcW w:type="dxa" w:w="6520"/>
            <w:shd w:val="clear" w:color="auto" w:fill="F3F7F4"/>
          </w:tcPr>
          <w:p>
            <w:pPr>
              <w:spacing w:after="0" w:line="252" w:lineRule="auto"/>
            </w:pPr>
            <w:r/>
            <w:r>
              <w:rPr>
                <w:sz w:val="20"/>
              </w:rPr>
              <w:t>Derechos de exportación (% sobre FOB)</w:t>
            </w:r>
          </w:p>
        </w:tc>
        <w:tc>
          <w:tcPr>
            <w:tcW w:type="dxa" w:w="2835"/>
            <w:shd w:val="clear" w:color="auto" w:fill="F3F7F4"/>
          </w:tcPr>
          <w:p>
            <w:pPr>
              <w:spacing w:after="0" w:line="252" w:lineRule="auto"/>
              <w:jc w:val="right"/>
            </w:pPr>
            <w:r/>
            <w:r>
              <w:rPr>
                <w:sz w:val="20"/>
              </w:rPr>
              <w:t>0,0 %</w:t>
            </w:r>
          </w:p>
        </w:tc>
      </w:tr>
      <w:tr>
        <w:trPr>
          <w:cantSplit w:val="true"/>
        </w:trPr>
        <w:tc>
          <w:tcPr>
            <w:tcW w:type="dxa" w:w="6520"/>
          </w:tcPr>
          <w:p>
            <w:pPr>
              <w:spacing w:after="0" w:line="252" w:lineRule="auto"/>
            </w:pPr>
            <w:r/>
            <w:r>
              <w:rPr>
                <w:sz w:val="20"/>
              </w:rPr>
              <w:t>Precio de venta CIF (USD/kg)</w:t>
            </w:r>
          </w:p>
        </w:tc>
        <w:tc>
          <w:tcPr>
            <w:tcW w:type="dxa" w:w="2835"/>
          </w:tcPr>
          <w:p>
            <w:pPr>
              <w:spacing w:after="0" w:line="252" w:lineRule="auto"/>
              <w:jc w:val="right"/>
            </w:pPr>
            <w:r/>
            <w:r>
              <w:rPr>
                <w:sz w:val="20"/>
              </w:rPr>
              <w:t>USD 2,55</w:t>
            </w:r>
          </w:p>
        </w:tc>
      </w:tr>
      <w:tr>
        <w:trPr>
          <w:cantSplit w:val="true"/>
        </w:trPr>
        <w:tc>
          <w:tcPr>
            <w:tcW w:type="dxa" w:w="6520"/>
            <w:shd w:val="clear" w:color="auto" w:fill="F3F7F4"/>
          </w:tcPr>
          <w:p>
            <w:pPr>
              <w:spacing w:after="0" w:line="252" w:lineRule="auto"/>
            </w:pPr>
            <w:r/>
            <w:r>
              <w:rPr>
                <w:sz w:val="20"/>
              </w:rPr>
              <w:t>Costo de carta de crédito (% de la venta)</w:t>
            </w:r>
          </w:p>
        </w:tc>
        <w:tc>
          <w:tcPr>
            <w:tcW w:type="dxa" w:w="2835"/>
            <w:shd w:val="clear" w:color="auto" w:fill="F3F7F4"/>
          </w:tcPr>
          <w:p>
            <w:pPr>
              <w:spacing w:after="0" w:line="252" w:lineRule="auto"/>
              <w:jc w:val="right"/>
            </w:pPr>
            <w:r/>
            <w:r>
              <w:rPr>
                <w:sz w:val="20"/>
              </w:rPr>
              <w:t>0,8 %</w:t>
            </w:r>
          </w:p>
        </w:tc>
      </w:tr>
      <w:tr>
        <w:trPr>
          <w:cantSplit w:val="true"/>
        </w:trPr>
        <w:tc>
          <w:tcPr>
            <w:tcW w:type="dxa" w:w="6520"/>
          </w:tcPr>
          <w:p>
            <w:pPr>
              <w:spacing w:after="0" w:line="252" w:lineRule="auto"/>
            </w:pPr>
            <w:r/>
            <w:r>
              <w:rPr>
                <w:sz w:val="20"/>
              </w:rPr>
              <w:t>Honorario de éxito de Rumbo Global (% de la venta)</w:t>
            </w:r>
          </w:p>
        </w:tc>
        <w:tc>
          <w:tcPr>
            <w:tcW w:type="dxa" w:w="2835"/>
          </w:tcPr>
          <w:p>
            <w:pPr>
              <w:spacing w:after="0" w:line="252" w:lineRule="auto"/>
              <w:jc w:val="right"/>
            </w:pPr>
            <w:r/>
            <w:r>
              <w:rPr>
                <w:sz w:val="20"/>
              </w:rPr>
              <w:t>3,0 %</w:t>
            </w:r>
          </w:p>
        </w:tc>
      </w:tr>
      <w:tr>
        <w:trPr>
          <w:cantSplit w:val="true"/>
        </w:trPr>
        <w:tc>
          <w:tcPr>
            <w:tcW w:type="dxa" w:w="6520"/>
            <w:shd w:val="clear" w:color="auto" w:fill="F3F7F4"/>
          </w:tcPr>
          <w:p>
            <w:pPr>
              <w:spacing w:after="0" w:line="252" w:lineRule="auto"/>
            </w:pPr>
            <w:r/>
            <w:r>
              <w:rPr>
                <w:sz w:val="20"/>
              </w:rPr>
              <w:t>Contenedores año 1</w:t>
            </w:r>
          </w:p>
        </w:tc>
        <w:tc>
          <w:tcPr>
            <w:tcW w:type="dxa" w:w="2835"/>
            <w:shd w:val="clear" w:color="auto" w:fill="F3F7F4"/>
          </w:tcPr>
          <w:p>
            <w:pPr>
              <w:spacing w:after="0" w:line="252" w:lineRule="auto"/>
              <w:jc w:val="right"/>
            </w:pPr>
            <w:r/>
            <w:r>
              <w:rPr>
                <w:sz w:val="20"/>
              </w:rPr>
              <w:t>6</w:t>
            </w:r>
          </w:p>
        </w:tc>
      </w:tr>
      <w:tr>
        <w:trPr>
          <w:cantSplit w:val="true"/>
        </w:trPr>
        <w:tc>
          <w:tcPr>
            <w:tcW w:type="dxa" w:w="6520"/>
          </w:tcPr>
          <w:p>
            <w:pPr>
              <w:spacing w:after="0" w:line="252" w:lineRule="auto"/>
            </w:pPr>
            <w:r/>
            <w:r>
              <w:rPr>
                <w:sz w:val="20"/>
              </w:rPr>
              <w:t>Contenedores año 2</w:t>
            </w:r>
          </w:p>
        </w:tc>
        <w:tc>
          <w:tcPr>
            <w:tcW w:type="dxa" w:w="2835"/>
          </w:tcPr>
          <w:p>
            <w:pPr>
              <w:spacing w:after="0" w:line="252" w:lineRule="auto"/>
              <w:jc w:val="right"/>
            </w:pPr>
            <w:r/>
            <w:r>
              <w:rPr>
                <w:sz w:val="20"/>
              </w:rPr>
              <w:t>14</w:t>
            </w:r>
          </w:p>
        </w:tc>
      </w:tr>
      <w:tr>
        <w:trPr>
          <w:cantSplit w:val="true"/>
        </w:trPr>
        <w:tc>
          <w:tcPr>
            <w:tcW w:type="dxa" w:w="6520"/>
            <w:shd w:val="clear" w:color="auto" w:fill="F3F7F4"/>
          </w:tcPr>
          <w:p>
            <w:pPr>
              <w:spacing w:after="0" w:line="252" w:lineRule="auto"/>
            </w:pPr>
            <w:r/>
            <w:r>
              <w:rPr>
                <w:sz w:val="20"/>
              </w:rPr>
              <w:t>Contenedores año 3</w:t>
            </w:r>
          </w:p>
        </w:tc>
        <w:tc>
          <w:tcPr>
            <w:tcW w:type="dxa" w:w="2835"/>
            <w:shd w:val="clear" w:color="auto" w:fill="F3F7F4"/>
          </w:tcPr>
          <w:p>
            <w:pPr>
              <w:spacing w:after="0" w:line="252" w:lineRule="auto"/>
              <w:jc w:val="right"/>
            </w:pPr>
            <w:r/>
            <w:r>
              <w:rPr>
                <w:sz w:val="20"/>
              </w:rPr>
              <w:t>24</w:t>
            </w:r>
          </w:p>
        </w:tc>
      </w:tr>
    </w:tbl>
    <w:p>
      <w:pPr>
        <w:spacing w:after="80"/>
      </w:pPr>
    </w:p>
    <w:p>
      <w:r>
        <w:rPr>
          <w:b w:val="0"/>
          <w:i/>
          <w:sz w:val="20"/>
        </w:rPr>
        <w:t>El tipo de cambio es solo una referencia para pasar a pesos: el proyecto se calcula en dólares porque se vende y se cobra en dólares.</w:t>
      </w:r>
    </w:p>
    <w:p>
      <w:pPr>
        <w:pStyle w:val="Heading1"/>
      </w:pPr>
      <w:r>
        <w:t>3. Inversión inicial</w:t>
      </w:r>
    </w:p>
    <w:tbl>
      <w:tblPr>
        <w:tblW w:type="auto" w:w="0"/>
        <w:jc w:val="center"/>
        <w:tblLayout w:type="fixed"/>
        <w:tblLook w:firstColumn="1" w:firstRow="1" w:lastColumn="0" w:lastRow="0" w:noHBand="0" w:noVBand="1" w:val="04A0"/>
        <w:tblBorders>
          <w:top w:val="single" w:sz="4" w:color="C8D3CB"/>
          <w:left w:val="single" w:sz="4" w:color="C8D3CB"/>
          <w:bottom w:val="single" w:sz="4" w:color="C8D3CB"/>
          <w:right w:val="single" w:sz="4" w:color="C8D3CB"/>
          <w:insideH w:val="single" w:sz="4" w:color="C8D3CB"/>
          <w:insideV w:val="single" w:sz="4" w:color="C8D3CB"/>
        </w:tblBorders>
        <w:tblCellMar>
          <w:top w:w="60" w:type="dxa"/>
          <w:left w:w="100" w:type="dxa"/>
          <w:bottom w:w="60" w:type="dxa"/>
          <w:right w:w="100" w:type="dxa"/>
        </w:tblCellMar>
      </w:tblPr>
      <w:tblGrid>
        <w:gridCol w:w="4706"/>
        <w:gridCol w:w="4706"/>
      </w:tblGrid>
      <w:tr>
        <w:trPr>
          <w:tblHeader w:val="true"/>
          <w:cantSplit w:val="true"/>
        </w:trPr>
        <w:tc>
          <w:tcPr>
            <w:tcW w:type="dxa" w:w="7370"/>
            <w:shd w:val="clear" w:color="auto" w:fill="1F4D3A"/>
          </w:tcPr>
          <w:p>
            <w:pPr>
              <w:spacing w:after="0" w:line="252" w:lineRule="auto"/>
            </w:pPr>
            <w:r/>
            <w:r>
              <w:rPr>
                <w:b/>
                <w:color w:val="FFFFFF"/>
                <w:sz w:val="20"/>
              </w:rPr>
              <w:t>Rubro</w:t>
            </w:r>
          </w:p>
        </w:tc>
        <w:tc>
          <w:tcPr>
            <w:tcW w:type="dxa" w:w="1984"/>
            <w:shd w:val="clear" w:color="auto" w:fill="1F4D3A"/>
          </w:tcPr>
          <w:p>
            <w:pPr>
              <w:spacing w:after="0" w:line="252" w:lineRule="auto"/>
            </w:pPr>
            <w:r/>
            <w:r>
              <w:rPr>
                <w:b/>
                <w:color w:val="FFFFFF"/>
                <w:sz w:val="20"/>
              </w:rPr>
              <w:t>USD</w:t>
            </w:r>
          </w:p>
        </w:tc>
      </w:tr>
      <w:tr>
        <w:trPr>
          <w:cantSplit w:val="true"/>
        </w:trPr>
        <w:tc>
          <w:tcPr>
            <w:tcW w:type="dxa" w:w="7370"/>
          </w:tcPr>
          <w:p>
            <w:pPr>
              <w:spacing w:after="0" w:line="252" w:lineRule="auto"/>
            </w:pPr>
            <w:r/>
            <w:r>
              <w:rPr>
                <w:sz w:val="20"/>
              </w:rPr>
              <w:t>Estudio de mercado y plan de exportación (consultora)</w:t>
            </w:r>
          </w:p>
        </w:tc>
        <w:tc>
          <w:tcPr>
            <w:tcW w:type="dxa" w:w="1984"/>
          </w:tcPr>
          <w:p>
            <w:pPr>
              <w:spacing w:after="0" w:line="252" w:lineRule="auto"/>
              <w:jc w:val="right"/>
            </w:pPr>
            <w:r/>
            <w:r>
              <w:rPr>
                <w:sz w:val="20"/>
              </w:rPr>
              <w:t>8.000</w:t>
            </w:r>
          </w:p>
        </w:tc>
      </w:tr>
      <w:tr>
        <w:trPr>
          <w:cantSplit w:val="true"/>
        </w:trPr>
        <w:tc>
          <w:tcPr>
            <w:tcW w:type="dxa" w:w="7370"/>
            <w:shd w:val="clear" w:color="auto" w:fill="F3F7F4"/>
          </w:tcPr>
          <w:p>
            <w:pPr>
              <w:spacing w:after="0" w:line="252" w:lineRule="auto"/>
            </w:pPr>
            <w:r/>
            <w:r>
              <w:rPr>
                <w:sz w:val="20"/>
              </w:rPr>
              <w:t>Registro de marca ASHAB (Argentina, Siria, Líbano, Jordania, EAU)</w:t>
            </w:r>
          </w:p>
        </w:tc>
        <w:tc>
          <w:tcPr>
            <w:tcW w:type="dxa" w:w="1984"/>
            <w:shd w:val="clear" w:color="auto" w:fill="F3F7F4"/>
          </w:tcPr>
          <w:p>
            <w:pPr>
              <w:spacing w:after="0" w:line="252" w:lineRule="auto"/>
              <w:jc w:val="right"/>
            </w:pPr>
            <w:r/>
            <w:r>
              <w:rPr>
                <w:sz w:val="20"/>
              </w:rPr>
              <w:t>6.500</w:t>
            </w:r>
          </w:p>
        </w:tc>
      </w:tr>
      <w:tr>
        <w:trPr>
          <w:cantSplit w:val="true"/>
        </w:trPr>
        <w:tc>
          <w:tcPr>
            <w:tcW w:type="dxa" w:w="7370"/>
          </w:tcPr>
          <w:p>
            <w:pPr>
              <w:spacing w:after="0" w:line="252" w:lineRule="auto"/>
            </w:pPr>
            <w:r/>
            <w:r>
              <w:rPr>
                <w:sz w:val="20"/>
              </w:rPr>
              <w:t>Diseño de packaging y etiquetas en español, inglés y árabe</w:t>
            </w:r>
          </w:p>
        </w:tc>
        <w:tc>
          <w:tcPr>
            <w:tcW w:type="dxa" w:w="1984"/>
          </w:tcPr>
          <w:p>
            <w:pPr>
              <w:spacing w:after="0" w:line="252" w:lineRule="auto"/>
              <w:jc w:val="right"/>
            </w:pPr>
            <w:r/>
            <w:r>
              <w:rPr>
                <w:sz w:val="20"/>
              </w:rPr>
              <w:t>3.500</w:t>
            </w:r>
          </w:p>
        </w:tc>
      </w:tr>
      <w:tr>
        <w:trPr>
          <w:cantSplit w:val="true"/>
        </w:trPr>
        <w:tc>
          <w:tcPr>
            <w:tcW w:type="dxa" w:w="7370"/>
            <w:shd w:val="clear" w:color="auto" w:fill="F3F7F4"/>
          </w:tcPr>
          <w:p>
            <w:pPr>
              <w:spacing w:after="0" w:line="252" w:lineRule="auto"/>
            </w:pPr>
            <w:r/>
            <w:r>
              <w:rPr>
                <w:sz w:val="20"/>
              </w:rPr>
              <w:t>Habilitaciones, análisis de laboratorio y certificados</w:t>
            </w:r>
          </w:p>
        </w:tc>
        <w:tc>
          <w:tcPr>
            <w:tcW w:type="dxa" w:w="1984"/>
            <w:shd w:val="clear" w:color="auto" w:fill="F3F7F4"/>
          </w:tcPr>
          <w:p>
            <w:pPr>
              <w:spacing w:after="0" w:line="252" w:lineRule="auto"/>
              <w:jc w:val="right"/>
            </w:pPr>
            <w:r/>
            <w:r>
              <w:rPr>
                <w:sz w:val="20"/>
              </w:rPr>
              <w:t>2.800</w:t>
            </w:r>
          </w:p>
        </w:tc>
      </w:tr>
      <w:tr>
        <w:trPr>
          <w:cantSplit w:val="true"/>
        </w:trPr>
        <w:tc>
          <w:tcPr>
            <w:tcW w:type="dxa" w:w="7370"/>
          </w:tcPr>
          <w:p>
            <w:pPr>
              <w:spacing w:after="0" w:line="252" w:lineRule="auto"/>
            </w:pPr>
            <w:r/>
            <w:r>
              <w:rPr>
                <w:sz w:val="20"/>
              </w:rPr>
              <w:t>Certificación halal (recomendada)</w:t>
            </w:r>
          </w:p>
        </w:tc>
        <w:tc>
          <w:tcPr>
            <w:tcW w:type="dxa" w:w="1984"/>
          </w:tcPr>
          <w:p>
            <w:pPr>
              <w:spacing w:after="0" w:line="252" w:lineRule="auto"/>
              <w:jc w:val="right"/>
            </w:pPr>
            <w:r/>
            <w:r>
              <w:rPr>
                <w:sz w:val="20"/>
              </w:rPr>
              <w:t>2.500</w:t>
            </w:r>
          </w:p>
        </w:tc>
      </w:tr>
      <w:tr>
        <w:trPr>
          <w:cantSplit w:val="true"/>
        </w:trPr>
        <w:tc>
          <w:tcPr>
            <w:tcW w:type="dxa" w:w="7370"/>
            <w:shd w:val="clear" w:color="auto" w:fill="F3F7F4"/>
          </w:tcPr>
          <w:p>
            <w:pPr>
              <w:spacing w:after="0" w:line="252" w:lineRule="auto"/>
            </w:pPr>
            <w:r/>
            <w:r>
              <w:rPr>
                <w:sz w:val="20"/>
              </w:rPr>
              <w:t>Registros y trámites sanitarios en destino</w:t>
            </w:r>
          </w:p>
        </w:tc>
        <w:tc>
          <w:tcPr>
            <w:tcW w:type="dxa" w:w="1984"/>
            <w:shd w:val="clear" w:color="auto" w:fill="F3F7F4"/>
          </w:tcPr>
          <w:p>
            <w:pPr>
              <w:spacing w:after="0" w:line="252" w:lineRule="auto"/>
              <w:jc w:val="right"/>
            </w:pPr>
            <w:r/>
            <w:r>
              <w:rPr>
                <w:sz w:val="20"/>
              </w:rPr>
              <w:t>4.000</w:t>
            </w:r>
          </w:p>
        </w:tc>
      </w:tr>
      <w:tr>
        <w:trPr>
          <w:cantSplit w:val="true"/>
        </w:trPr>
        <w:tc>
          <w:tcPr>
            <w:tcW w:type="dxa" w:w="7370"/>
          </w:tcPr>
          <w:p>
            <w:pPr>
              <w:spacing w:after="0" w:line="252" w:lineRule="auto"/>
            </w:pPr>
            <w:r/>
            <w:r>
              <w:rPr>
                <w:sz w:val="20"/>
              </w:rPr>
              <w:t>Sitio web trilingüe y sistema de clientes (desarrollo)</w:t>
            </w:r>
          </w:p>
        </w:tc>
        <w:tc>
          <w:tcPr>
            <w:tcW w:type="dxa" w:w="1984"/>
          </w:tcPr>
          <w:p>
            <w:pPr>
              <w:spacing w:after="0" w:line="252" w:lineRule="auto"/>
              <w:jc w:val="right"/>
            </w:pPr>
            <w:r/>
            <w:r>
              <w:rPr>
                <w:sz w:val="20"/>
              </w:rPr>
              <w:t>5.500</w:t>
            </w:r>
          </w:p>
        </w:tc>
      </w:tr>
      <w:tr>
        <w:trPr>
          <w:cantSplit w:val="true"/>
        </w:trPr>
        <w:tc>
          <w:tcPr>
            <w:tcW w:type="dxa" w:w="7370"/>
            <w:shd w:val="clear" w:color="auto" w:fill="F3F7F4"/>
          </w:tcPr>
          <w:p>
            <w:pPr>
              <w:spacing w:after="0" w:line="252" w:lineRule="auto"/>
            </w:pPr>
            <w:r/>
            <w:r>
              <w:rPr>
                <w:sz w:val="20"/>
              </w:rPr>
              <w:t>Dominio, hosting y mantenimiento (primer año)</w:t>
            </w:r>
          </w:p>
        </w:tc>
        <w:tc>
          <w:tcPr>
            <w:tcW w:type="dxa" w:w="1984"/>
            <w:shd w:val="clear" w:color="auto" w:fill="F3F7F4"/>
          </w:tcPr>
          <w:p>
            <w:pPr>
              <w:spacing w:after="0" w:line="252" w:lineRule="auto"/>
              <w:jc w:val="right"/>
            </w:pPr>
            <w:r/>
            <w:r>
              <w:rPr>
                <w:sz w:val="20"/>
              </w:rPr>
              <w:t>600</w:t>
            </w:r>
          </w:p>
        </w:tc>
      </w:tr>
      <w:tr>
        <w:trPr>
          <w:cantSplit w:val="true"/>
        </w:trPr>
        <w:tc>
          <w:tcPr>
            <w:tcW w:type="dxa" w:w="7370"/>
          </w:tcPr>
          <w:p>
            <w:pPr>
              <w:spacing w:after="0" w:line="252" w:lineRule="auto"/>
            </w:pPr>
            <w:r/>
            <w:r>
              <w:rPr>
                <w:sz w:val="20"/>
              </w:rPr>
              <w:t>Viaje de prospección: 2 personas, Dubái y Beirut, 10 días</w:t>
            </w:r>
          </w:p>
        </w:tc>
        <w:tc>
          <w:tcPr>
            <w:tcW w:type="dxa" w:w="1984"/>
          </w:tcPr>
          <w:p>
            <w:pPr>
              <w:spacing w:after="0" w:line="252" w:lineRule="auto"/>
              <w:jc w:val="right"/>
            </w:pPr>
            <w:r/>
            <w:r>
              <w:rPr>
                <w:sz w:val="20"/>
              </w:rPr>
              <w:t>9.000</w:t>
            </w:r>
          </w:p>
        </w:tc>
      </w:tr>
      <w:tr>
        <w:trPr>
          <w:cantSplit w:val="true"/>
        </w:trPr>
        <w:tc>
          <w:tcPr>
            <w:tcW w:type="dxa" w:w="7370"/>
            <w:shd w:val="clear" w:color="auto" w:fill="F3F7F4"/>
          </w:tcPr>
          <w:p>
            <w:pPr>
              <w:spacing w:after="0" w:line="252" w:lineRule="auto"/>
            </w:pPr>
            <w:r/>
            <w:r>
              <w:rPr>
                <w:sz w:val="20"/>
              </w:rPr>
              <w:t>Muestras y courier internacional</w:t>
            </w:r>
          </w:p>
        </w:tc>
        <w:tc>
          <w:tcPr>
            <w:tcW w:type="dxa" w:w="1984"/>
            <w:shd w:val="clear" w:color="auto" w:fill="F3F7F4"/>
          </w:tcPr>
          <w:p>
            <w:pPr>
              <w:spacing w:after="0" w:line="252" w:lineRule="auto"/>
              <w:jc w:val="right"/>
            </w:pPr>
            <w:r/>
            <w:r>
              <w:rPr>
                <w:sz w:val="20"/>
              </w:rPr>
              <w:t>2.000</w:t>
            </w:r>
          </w:p>
        </w:tc>
      </w:tr>
      <w:tr>
        <w:trPr>
          <w:cantSplit w:val="true"/>
        </w:trPr>
        <w:tc>
          <w:tcPr>
            <w:tcW w:type="dxa" w:w="7370"/>
          </w:tcPr>
          <w:p>
            <w:pPr>
              <w:spacing w:after="0" w:line="252" w:lineRule="auto"/>
            </w:pPr>
            <w:r/>
            <w:r>
              <w:rPr>
                <w:sz w:val="20"/>
              </w:rPr>
              <w:t>Feria Gulfood Dubái (stand compartido)</w:t>
            </w:r>
          </w:p>
        </w:tc>
        <w:tc>
          <w:tcPr>
            <w:tcW w:type="dxa" w:w="1984"/>
          </w:tcPr>
          <w:p>
            <w:pPr>
              <w:spacing w:after="0" w:line="252" w:lineRule="auto"/>
              <w:jc w:val="right"/>
            </w:pPr>
            <w:r/>
            <w:r>
              <w:rPr>
                <w:sz w:val="20"/>
              </w:rPr>
              <w:t>12.000</w:t>
            </w:r>
          </w:p>
        </w:tc>
      </w:tr>
      <w:tr>
        <w:trPr>
          <w:cantSplit w:val="true"/>
        </w:trPr>
        <w:tc>
          <w:tcPr>
            <w:tcW w:type="dxa" w:w="7370"/>
            <w:shd w:val="clear" w:color="auto" w:fill="F3F7F4"/>
          </w:tcPr>
          <w:p>
            <w:pPr>
              <w:spacing w:after="0" w:line="252" w:lineRule="auto"/>
            </w:pPr>
            <w:r/>
            <w:r>
              <w:rPr>
                <w:sz w:val="20"/>
              </w:rPr>
              <w:t>Consultoría de implementación (6 meses)</w:t>
            </w:r>
          </w:p>
        </w:tc>
        <w:tc>
          <w:tcPr>
            <w:tcW w:type="dxa" w:w="1984"/>
            <w:shd w:val="clear" w:color="auto" w:fill="F3F7F4"/>
          </w:tcPr>
          <w:p>
            <w:pPr>
              <w:spacing w:after="0" w:line="252" w:lineRule="auto"/>
              <w:jc w:val="right"/>
            </w:pPr>
            <w:r/>
            <w:r>
              <w:rPr>
                <w:sz w:val="20"/>
              </w:rPr>
              <w:t>13.800</w:t>
            </w:r>
          </w:p>
        </w:tc>
      </w:tr>
      <w:tr>
        <w:trPr>
          <w:cantSplit w:val="true"/>
        </w:trPr>
        <w:tc>
          <w:tcPr>
            <w:tcW w:type="dxa" w:w="7370"/>
          </w:tcPr>
          <w:p>
            <w:pPr>
              <w:spacing w:after="0" w:line="252" w:lineRule="auto"/>
            </w:pPr>
            <w:r/>
            <w:r>
              <w:rPr>
                <w:sz w:val="20"/>
              </w:rPr>
              <w:t>Seguro de crédito a la exportación y contingencias</w:t>
            </w:r>
          </w:p>
        </w:tc>
        <w:tc>
          <w:tcPr>
            <w:tcW w:type="dxa" w:w="1984"/>
          </w:tcPr>
          <w:p>
            <w:pPr>
              <w:spacing w:after="0" w:line="252" w:lineRule="auto"/>
              <w:jc w:val="right"/>
            </w:pPr>
            <w:r/>
            <w:r>
              <w:rPr>
                <w:sz w:val="20"/>
              </w:rPr>
              <w:t>2.000</w:t>
            </w:r>
          </w:p>
        </w:tc>
      </w:tr>
      <w:tr>
        <w:trPr>
          <w:cantSplit w:val="true"/>
        </w:trPr>
        <w:tc>
          <w:tcPr>
            <w:tcW w:type="dxa" w:w="7370"/>
            <w:shd w:val="clear" w:color="auto" w:fill="F3F7F4"/>
          </w:tcPr>
          <w:p>
            <w:pPr>
              <w:spacing w:after="0" w:line="252" w:lineRule="auto"/>
            </w:pPr>
            <w:r/>
            <w:r>
              <w:rPr>
                <w:sz w:val="20"/>
              </w:rPr>
              <w:t>Subtotal</w:t>
            </w:r>
          </w:p>
        </w:tc>
        <w:tc>
          <w:tcPr>
            <w:tcW w:type="dxa" w:w="1984"/>
            <w:shd w:val="clear" w:color="auto" w:fill="F3F7F4"/>
          </w:tcPr>
          <w:p>
            <w:pPr>
              <w:spacing w:after="0" w:line="252" w:lineRule="auto"/>
              <w:jc w:val="right"/>
            </w:pPr>
            <w:r/>
            <w:r>
              <w:rPr>
                <w:sz w:val="20"/>
              </w:rPr>
              <w:t>72.200</w:t>
            </w:r>
          </w:p>
        </w:tc>
      </w:tr>
      <w:tr>
        <w:trPr>
          <w:cantSplit w:val="true"/>
        </w:trPr>
        <w:tc>
          <w:tcPr>
            <w:tcW w:type="dxa" w:w="7370"/>
          </w:tcPr>
          <w:p>
            <w:pPr>
              <w:spacing w:after="0" w:line="252" w:lineRule="auto"/>
            </w:pPr>
            <w:r/>
            <w:r>
              <w:rPr>
                <w:sz w:val="20"/>
              </w:rPr>
              <w:t>Imprevistos (5 %)</w:t>
            </w:r>
          </w:p>
        </w:tc>
        <w:tc>
          <w:tcPr>
            <w:tcW w:type="dxa" w:w="1984"/>
          </w:tcPr>
          <w:p>
            <w:pPr>
              <w:spacing w:after="0" w:line="252" w:lineRule="auto"/>
              <w:jc w:val="right"/>
            </w:pPr>
            <w:r/>
            <w:r>
              <w:rPr>
                <w:sz w:val="20"/>
              </w:rPr>
              <w:t>3.610</w:t>
            </w:r>
          </w:p>
        </w:tc>
      </w:tr>
      <w:tr>
        <w:trPr>
          <w:cantSplit w:val="true"/>
        </w:trPr>
        <w:tc>
          <w:tcPr>
            <w:tcW w:type="dxa" w:w="7370"/>
            <w:shd w:val="clear" w:color="auto" w:fill="F3F7F4"/>
          </w:tcPr>
          <w:p>
            <w:pPr>
              <w:spacing w:after="0" w:line="252" w:lineRule="auto"/>
            </w:pPr>
            <w:r/>
            <w:r>
              <w:rPr>
                <w:sz w:val="20"/>
              </w:rPr>
              <w:t>Inversión inicial total</w:t>
            </w:r>
          </w:p>
        </w:tc>
        <w:tc>
          <w:tcPr>
            <w:tcW w:type="dxa" w:w="1984"/>
            <w:shd w:val="clear" w:color="auto" w:fill="F3F7F4"/>
          </w:tcPr>
          <w:p>
            <w:pPr>
              <w:spacing w:after="0" w:line="252" w:lineRule="auto"/>
              <w:jc w:val="right"/>
            </w:pPr>
            <w:r/>
            <w:r>
              <w:rPr>
                <w:sz w:val="20"/>
              </w:rPr>
              <w:t>75.810</w:t>
            </w:r>
          </w:p>
        </w:tc>
      </w:tr>
    </w:tbl>
    <w:p>
      <w:pPr>
        <w:spacing w:after="80"/>
      </w:pPr>
    </w:p>
    <w:p>
      <w:r>
        <w:rPr>
          <w:b w:val="0"/>
          <w:i w:val="0"/>
        </w:rPr>
        <w:t>En pesos, a ARS 1.450 por dólar, equivale a ARS 109.924.500.</w:t>
      </w:r>
    </w:p>
    <w:p>
      <w:pPr>
        <w:pStyle w:val="Heading1"/>
      </w:pPr>
      <w:r>
        <w:t>4. Costo y margen de un contenedor</w:t>
      </w:r>
    </w:p>
    <w:tbl>
      <w:tblPr>
        <w:tblW w:type="auto" w:w="0"/>
        <w:jc w:val="center"/>
        <w:tblLayout w:type="fixed"/>
        <w:tblLook w:firstColumn="1" w:firstRow="1" w:lastColumn="0" w:lastRow="0" w:noHBand="0" w:noVBand="1" w:val="04A0"/>
        <w:tblBorders>
          <w:top w:val="single" w:sz="4" w:color="C8D3CB"/>
          <w:left w:val="single" w:sz="4" w:color="C8D3CB"/>
          <w:bottom w:val="single" w:sz="4" w:color="C8D3CB"/>
          <w:right w:val="single" w:sz="4" w:color="C8D3CB"/>
          <w:insideH w:val="single" w:sz="4" w:color="C8D3CB"/>
          <w:insideV w:val="single" w:sz="4" w:color="C8D3CB"/>
        </w:tblBorders>
        <w:tblCellMar>
          <w:top w:w="60" w:type="dxa"/>
          <w:left w:w="100" w:type="dxa"/>
          <w:bottom w:w="60" w:type="dxa"/>
          <w:right w:w="100" w:type="dxa"/>
        </w:tblCellMar>
      </w:tblPr>
      <w:tblGrid>
        <w:gridCol w:w="3137"/>
        <w:gridCol w:w="3137"/>
        <w:gridCol w:w="3137"/>
      </w:tblGrid>
      <w:tr>
        <w:trPr>
          <w:tblHeader w:val="true"/>
          <w:cantSplit w:val="true"/>
        </w:trPr>
        <w:tc>
          <w:tcPr>
            <w:tcW w:type="dxa" w:w="5669"/>
            <w:shd w:val="clear" w:color="auto" w:fill="1F4D3A"/>
          </w:tcPr>
          <w:p>
            <w:pPr>
              <w:spacing w:after="0" w:line="252" w:lineRule="auto"/>
            </w:pPr>
            <w:r/>
            <w:r>
              <w:rPr>
                <w:b/>
                <w:color w:val="FFFFFF"/>
                <w:sz w:val="20"/>
              </w:rPr>
              <w:t>Concepto</w:t>
            </w:r>
          </w:p>
        </w:tc>
        <w:tc>
          <w:tcPr>
            <w:tcW w:type="dxa" w:w="1814"/>
            <w:shd w:val="clear" w:color="auto" w:fill="1F4D3A"/>
          </w:tcPr>
          <w:p>
            <w:pPr>
              <w:spacing w:after="0" w:line="252" w:lineRule="auto"/>
            </w:pPr>
            <w:r/>
            <w:r>
              <w:rPr>
                <w:b/>
                <w:color w:val="FFFFFF"/>
                <w:sz w:val="20"/>
              </w:rPr>
              <w:t>USD</w:t>
            </w:r>
          </w:p>
        </w:tc>
        <w:tc>
          <w:tcPr>
            <w:tcW w:type="dxa" w:w="1871"/>
            <w:shd w:val="clear" w:color="auto" w:fill="1F4D3A"/>
          </w:tcPr>
          <w:p>
            <w:pPr>
              <w:spacing w:after="0" w:line="252" w:lineRule="auto"/>
            </w:pPr>
            <w:r/>
            <w:r>
              <w:rPr>
                <w:b/>
                <w:color w:val="FFFFFF"/>
                <w:sz w:val="20"/>
              </w:rPr>
              <w:t>USD por kg</w:t>
            </w:r>
          </w:p>
        </w:tc>
      </w:tr>
      <w:tr>
        <w:trPr>
          <w:cantSplit w:val="true"/>
        </w:trPr>
        <w:tc>
          <w:tcPr>
            <w:tcW w:type="dxa" w:w="5669"/>
          </w:tcPr>
          <w:p>
            <w:pPr>
              <w:spacing w:after="0" w:line="252" w:lineRule="auto"/>
            </w:pPr>
            <w:r/>
            <w:r>
              <w:rPr>
                <w:sz w:val="20"/>
              </w:rPr>
              <w:t>Yerba empacada en planta</w:t>
            </w:r>
          </w:p>
        </w:tc>
        <w:tc>
          <w:tcPr>
            <w:tcW w:type="dxa" w:w="1814"/>
          </w:tcPr>
          <w:p>
            <w:pPr>
              <w:spacing w:after="0" w:line="252" w:lineRule="auto"/>
              <w:jc w:val="right"/>
            </w:pPr>
            <w:r/>
            <w:r>
              <w:rPr>
                <w:sz w:val="20"/>
              </w:rPr>
              <w:t>37.200</w:t>
            </w:r>
          </w:p>
        </w:tc>
        <w:tc>
          <w:tcPr>
            <w:tcW w:type="dxa" w:w="1871"/>
          </w:tcPr>
          <w:p>
            <w:pPr>
              <w:spacing w:after="0" w:line="252" w:lineRule="auto"/>
              <w:jc w:val="right"/>
            </w:pPr>
            <w:r/>
            <w:r>
              <w:rPr>
                <w:sz w:val="20"/>
              </w:rPr>
              <w:t>1,55</w:t>
            </w:r>
          </w:p>
        </w:tc>
      </w:tr>
      <w:tr>
        <w:trPr>
          <w:cantSplit w:val="true"/>
        </w:trPr>
        <w:tc>
          <w:tcPr>
            <w:tcW w:type="dxa" w:w="5669"/>
            <w:shd w:val="clear" w:color="auto" w:fill="F3F7F4"/>
          </w:tcPr>
          <w:p>
            <w:pPr>
              <w:spacing w:after="0" w:line="252" w:lineRule="auto"/>
            </w:pPr>
            <w:r/>
            <w:r>
              <w:rPr>
                <w:sz w:val="20"/>
              </w:rPr>
              <w:t>Packaging de marca bilingüe</w:t>
            </w:r>
          </w:p>
        </w:tc>
        <w:tc>
          <w:tcPr>
            <w:tcW w:type="dxa" w:w="1814"/>
            <w:shd w:val="clear" w:color="auto" w:fill="F3F7F4"/>
          </w:tcPr>
          <w:p>
            <w:pPr>
              <w:spacing w:after="0" w:line="252" w:lineRule="auto"/>
              <w:jc w:val="right"/>
            </w:pPr>
            <w:r/>
            <w:r>
              <w:rPr>
                <w:sz w:val="20"/>
              </w:rPr>
              <w:t>2.400</w:t>
            </w:r>
          </w:p>
        </w:tc>
        <w:tc>
          <w:tcPr>
            <w:tcW w:type="dxa" w:w="1871"/>
            <w:shd w:val="clear" w:color="auto" w:fill="F3F7F4"/>
          </w:tcPr>
          <w:p>
            <w:pPr>
              <w:spacing w:after="0" w:line="252" w:lineRule="auto"/>
              <w:jc w:val="right"/>
            </w:pPr>
            <w:r/>
            <w:r>
              <w:rPr>
                <w:sz w:val="20"/>
              </w:rPr>
              <w:t>0,10</w:t>
            </w:r>
          </w:p>
        </w:tc>
      </w:tr>
      <w:tr>
        <w:trPr>
          <w:cantSplit w:val="true"/>
        </w:trPr>
        <w:tc>
          <w:tcPr>
            <w:tcW w:type="dxa" w:w="5669"/>
          </w:tcPr>
          <w:p>
            <w:pPr>
              <w:spacing w:after="0" w:line="252" w:lineRule="auto"/>
            </w:pPr>
            <w:r/>
            <w:r>
              <w:rPr>
                <w:sz w:val="20"/>
              </w:rPr>
              <w:t>Flete interno a Buenos Aires</w:t>
            </w:r>
          </w:p>
        </w:tc>
        <w:tc>
          <w:tcPr>
            <w:tcW w:type="dxa" w:w="1814"/>
          </w:tcPr>
          <w:p>
            <w:pPr>
              <w:spacing w:after="0" w:line="252" w:lineRule="auto"/>
              <w:jc w:val="right"/>
            </w:pPr>
            <w:r/>
            <w:r>
              <w:rPr>
                <w:sz w:val="20"/>
              </w:rPr>
              <w:t>2.400</w:t>
            </w:r>
          </w:p>
        </w:tc>
        <w:tc>
          <w:tcPr>
            <w:tcW w:type="dxa" w:w="1871"/>
          </w:tcPr>
          <w:p>
            <w:pPr>
              <w:spacing w:after="0" w:line="252" w:lineRule="auto"/>
              <w:jc w:val="right"/>
            </w:pPr>
            <w:r/>
            <w:r>
              <w:rPr>
                <w:sz w:val="20"/>
              </w:rPr>
              <w:t>0,10</w:t>
            </w:r>
          </w:p>
        </w:tc>
      </w:tr>
      <w:tr>
        <w:trPr>
          <w:cantSplit w:val="true"/>
        </w:trPr>
        <w:tc>
          <w:tcPr>
            <w:tcW w:type="dxa" w:w="5669"/>
            <w:shd w:val="clear" w:color="auto" w:fill="F3F7F4"/>
          </w:tcPr>
          <w:p>
            <w:pPr>
              <w:spacing w:after="0" w:line="252" w:lineRule="auto"/>
            </w:pPr>
            <w:r/>
            <w:r>
              <w:rPr>
                <w:sz w:val="20"/>
              </w:rPr>
              <w:t>Gastos de exportación</w:t>
            </w:r>
          </w:p>
        </w:tc>
        <w:tc>
          <w:tcPr>
            <w:tcW w:type="dxa" w:w="1814"/>
            <w:shd w:val="clear" w:color="auto" w:fill="F3F7F4"/>
          </w:tcPr>
          <w:p>
            <w:pPr>
              <w:spacing w:after="0" w:line="252" w:lineRule="auto"/>
              <w:jc w:val="right"/>
            </w:pPr>
            <w:r/>
            <w:r>
              <w:rPr>
                <w:sz w:val="20"/>
              </w:rPr>
              <w:t>1.600</w:t>
            </w:r>
          </w:p>
        </w:tc>
        <w:tc>
          <w:tcPr>
            <w:tcW w:type="dxa" w:w="1871"/>
            <w:shd w:val="clear" w:color="auto" w:fill="F3F7F4"/>
          </w:tcPr>
          <w:p>
            <w:pPr>
              <w:spacing w:after="0" w:line="252" w:lineRule="auto"/>
              <w:jc w:val="right"/>
            </w:pPr>
            <w:r/>
            <w:r>
              <w:rPr>
                <w:sz w:val="20"/>
              </w:rPr>
              <w:t>0,07</w:t>
            </w:r>
          </w:p>
        </w:tc>
      </w:tr>
      <w:tr>
        <w:trPr>
          <w:cantSplit w:val="true"/>
        </w:trPr>
        <w:tc>
          <w:tcPr>
            <w:tcW w:type="dxa" w:w="5669"/>
          </w:tcPr>
          <w:p>
            <w:pPr>
              <w:spacing w:after="0" w:line="252" w:lineRule="auto"/>
            </w:pPr>
            <w:r/>
            <w:r>
              <w:rPr>
                <w:sz w:val="20"/>
              </w:rPr>
              <w:t>Costo FOB</w:t>
            </w:r>
          </w:p>
        </w:tc>
        <w:tc>
          <w:tcPr>
            <w:tcW w:type="dxa" w:w="1814"/>
          </w:tcPr>
          <w:p>
            <w:pPr>
              <w:spacing w:after="0" w:line="252" w:lineRule="auto"/>
              <w:jc w:val="right"/>
            </w:pPr>
            <w:r/>
            <w:r>
              <w:rPr>
                <w:sz w:val="20"/>
              </w:rPr>
              <w:t>43.600</w:t>
            </w:r>
          </w:p>
        </w:tc>
        <w:tc>
          <w:tcPr>
            <w:tcW w:type="dxa" w:w="1871"/>
          </w:tcPr>
          <w:p>
            <w:pPr>
              <w:spacing w:after="0" w:line="252" w:lineRule="auto"/>
              <w:jc w:val="right"/>
            </w:pPr>
            <w:r/>
            <w:r>
              <w:rPr>
                <w:sz w:val="20"/>
              </w:rPr>
              <w:t>1,82</w:t>
            </w:r>
          </w:p>
        </w:tc>
      </w:tr>
      <w:tr>
        <w:trPr>
          <w:cantSplit w:val="true"/>
        </w:trPr>
        <w:tc>
          <w:tcPr>
            <w:tcW w:type="dxa" w:w="5669"/>
            <w:shd w:val="clear" w:color="auto" w:fill="F3F7F4"/>
          </w:tcPr>
          <w:p>
            <w:pPr>
              <w:spacing w:after="0" w:line="252" w:lineRule="auto"/>
            </w:pPr>
            <w:r/>
            <w:r>
              <w:rPr>
                <w:sz w:val="20"/>
              </w:rPr>
              <w:t>Flete marítimo</w:t>
            </w:r>
          </w:p>
        </w:tc>
        <w:tc>
          <w:tcPr>
            <w:tcW w:type="dxa" w:w="1814"/>
            <w:shd w:val="clear" w:color="auto" w:fill="F3F7F4"/>
          </w:tcPr>
          <w:p>
            <w:pPr>
              <w:spacing w:after="0" w:line="252" w:lineRule="auto"/>
              <w:jc w:val="right"/>
            </w:pPr>
            <w:r/>
            <w:r>
              <w:rPr>
                <w:sz w:val="20"/>
              </w:rPr>
              <w:t>4.200</w:t>
            </w:r>
          </w:p>
        </w:tc>
        <w:tc>
          <w:tcPr>
            <w:tcW w:type="dxa" w:w="1871"/>
            <w:shd w:val="clear" w:color="auto" w:fill="F3F7F4"/>
          </w:tcPr>
          <w:p>
            <w:pPr>
              <w:spacing w:after="0" w:line="252" w:lineRule="auto"/>
              <w:jc w:val="right"/>
            </w:pPr>
            <w:r/>
            <w:r>
              <w:rPr>
                <w:sz w:val="20"/>
              </w:rPr>
              <w:t>0,17</w:t>
            </w:r>
          </w:p>
        </w:tc>
      </w:tr>
      <w:tr>
        <w:trPr>
          <w:cantSplit w:val="true"/>
        </w:trPr>
        <w:tc>
          <w:tcPr>
            <w:tcW w:type="dxa" w:w="5669"/>
          </w:tcPr>
          <w:p>
            <w:pPr>
              <w:spacing w:after="0" w:line="252" w:lineRule="auto"/>
            </w:pPr>
            <w:r/>
            <w:r>
              <w:rPr>
                <w:sz w:val="20"/>
              </w:rPr>
              <w:t>Seguro de carga</w:t>
            </w:r>
          </w:p>
        </w:tc>
        <w:tc>
          <w:tcPr>
            <w:tcW w:type="dxa" w:w="1814"/>
          </w:tcPr>
          <w:p>
            <w:pPr>
              <w:spacing w:after="0" w:line="252" w:lineRule="auto"/>
              <w:jc w:val="right"/>
            </w:pPr>
            <w:r/>
            <w:r>
              <w:rPr>
                <w:sz w:val="20"/>
              </w:rPr>
              <w:t>315</w:t>
            </w:r>
          </w:p>
        </w:tc>
        <w:tc>
          <w:tcPr>
            <w:tcW w:type="dxa" w:w="1871"/>
          </w:tcPr>
          <w:p>
            <w:pPr>
              <w:spacing w:after="0" w:line="252" w:lineRule="auto"/>
              <w:jc w:val="right"/>
            </w:pPr>
            <w:r/>
            <w:r>
              <w:rPr>
                <w:sz w:val="20"/>
              </w:rPr>
              <w:t>0,01</w:t>
            </w:r>
          </w:p>
        </w:tc>
      </w:tr>
      <w:tr>
        <w:trPr>
          <w:cantSplit w:val="true"/>
        </w:trPr>
        <w:tc>
          <w:tcPr>
            <w:tcW w:type="dxa" w:w="5669"/>
            <w:shd w:val="clear" w:color="auto" w:fill="F3F7F4"/>
          </w:tcPr>
          <w:p>
            <w:pPr>
              <w:spacing w:after="0" w:line="252" w:lineRule="auto"/>
            </w:pPr>
            <w:r/>
            <w:r>
              <w:rPr>
                <w:sz w:val="20"/>
              </w:rPr>
              <w:t>Costo CIF</w:t>
            </w:r>
          </w:p>
        </w:tc>
        <w:tc>
          <w:tcPr>
            <w:tcW w:type="dxa" w:w="1814"/>
            <w:shd w:val="clear" w:color="auto" w:fill="F3F7F4"/>
          </w:tcPr>
          <w:p>
            <w:pPr>
              <w:spacing w:after="0" w:line="252" w:lineRule="auto"/>
              <w:jc w:val="right"/>
            </w:pPr>
            <w:r/>
            <w:r>
              <w:rPr>
                <w:sz w:val="20"/>
              </w:rPr>
              <w:t>48.115</w:t>
            </w:r>
          </w:p>
        </w:tc>
        <w:tc>
          <w:tcPr>
            <w:tcW w:type="dxa" w:w="1871"/>
            <w:shd w:val="clear" w:color="auto" w:fill="F3F7F4"/>
          </w:tcPr>
          <w:p>
            <w:pPr>
              <w:spacing w:after="0" w:line="252" w:lineRule="auto"/>
              <w:jc w:val="right"/>
            </w:pPr>
            <w:r/>
            <w:r>
              <w:rPr>
                <w:sz w:val="20"/>
              </w:rPr>
              <w:t>2,00</w:t>
            </w:r>
          </w:p>
        </w:tc>
      </w:tr>
      <w:tr>
        <w:trPr>
          <w:cantSplit w:val="true"/>
        </w:trPr>
        <w:tc>
          <w:tcPr>
            <w:tcW w:type="dxa" w:w="5669"/>
          </w:tcPr>
          <w:p>
            <w:pPr>
              <w:spacing w:after="0" w:line="252" w:lineRule="auto"/>
            </w:pPr>
            <w:r/>
            <w:r>
              <w:rPr>
                <w:sz w:val="20"/>
              </w:rPr>
              <w:t>Carta de crédito</w:t>
            </w:r>
          </w:p>
        </w:tc>
        <w:tc>
          <w:tcPr>
            <w:tcW w:type="dxa" w:w="1814"/>
          </w:tcPr>
          <w:p>
            <w:pPr>
              <w:spacing w:after="0" w:line="252" w:lineRule="auto"/>
              <w:jc w:val="right"/>
            </w:pPr>
            <w:r/>
            <w:r>
              <w:rPr>
                <w:sz w:val="20"/>
              </w:rPr>
              <w:t>490</w:t>
            </w:r>
          </w:p>
        </w:tc>
        <w:tc>
          <w:tcPr>
            <w:tcW w:type="dxa" w:w="1871"/>
          </w:tcPr>
          <w:p>
            <w:pPr>
              <w:spacing w:after="0" w:line="252" w:lineRule="auto"/>
              <w:jc w:val="right"/>
            </w:pPr>
            <w:r/>
            <w:r>
              <w:rPr>
                <w:sz w:val="20"/>
              </w:rPr>
              <w:t>0,02</w:t>
            </w:r>
          </w:p>
        </w:tc>
      </w:tr>
      <w:tr>
        <w:trPr>
          <w:cantSplit w:val="true"/>
        </w:trPr>
        <w:tc>
          <w:tcPr>
            <w:tcW w:type="dxa" w:w="5669"/>
            <w:shd w:val="clear" w:color="auto" w:fill="F3F7F4"/>
          </w:tcPr>
          <w:p>
            <w:pPr>
              <w:spacing w:after="0" w:line="252" w:lineRule="auto"/>
            </w:pPr>
            <w:r/>
            <w:r>
              <w:rPr>
                <w:sz w:val="20"/>
              </w:rPr>
              <w:t>Gastos bancarios y cobranza</w:t>
            </w:r>
          </w:p>
        </w:tc>
        <w:tc>
          <w:tcPr>
            <w:tcW w:type="dxa" w:w="1814"/>
            <w:shd w:val="clear" w:color="auto" w:fill="F3F7F4"/>
          </w:tcPr>
          <w:p>
            <w:pPr>
              <w:spacing w:after="0" w:line="252" w:lineRule="auto"/>
              <w:jc w:val="right"/>
            </w:pPr>
            <w:r/>
            <w:r>
              <w:rPr>
                <w:sz w:val="20"/>
              </w:rPr>
              <w:t>300</w:t>
            </w:r>
          </w:p>
        </w:tc>
        <w:tc>
          <w:tcPr>
            <w:tcW w:type="dxa" w:w="1871"/>
            <w:shd w:val="clear" w:color="auto" w:fill="F3F7F4"/>
          </w:tcPr>
          <w:p>
            <w:pPr>
              <w:spacing w:after="0" w:line="252" w:lineRule="auto"/>
              <w:jc w:val="right"/>
            </w:pPr>
            <w:r/>
            <w:r>
              <w:rPr>
                <w:sz w:val="20"/>
              </w:rPr>
              <w:t>0,01</w:t>
            </w:r>
          </w:p>
        </w:tc>
      </w:tr>
      <w:tr>
        <w:trPr>
          <w:cantSplit w:val="true"/>
        </w:trPr>
        <w:tc>
          <w:tcPr>
            <w:tcW w:type="dxa" w:w="5669"/>
          </w:tcPr>
          <w:p>
            <w:pPr>
              <w:spacing w:after="0" w:line="252" w:lineRule="auto"/>
            </w:pPr>
            <w:r/>
            <w:r>
              <w:rPr>
                <w:sz w:val="20"/>
              </w:rPr>
              <w:t>Honorario de éxito de Rumbo Global (3 %)</w:t>
            </w:r>
          </w:p>
        </w:tc>
        <w:tc>
          <w:tcPr>
            <w:tcW w:type="dxa" w:w="1814"/>
          </w:tcPr>
          <w:p>
            <w:pPr>
              <w:spacing w:after="0" w:line="252" w:lineRule="auto"/>
              <w:jc w:val="right"/>
            </w:pPr>
            <w:r/>
            <w:r>
              <w:rPr>
                <w:sz w:val="20"/>
              </w:rPr>
              <w:t>1.836</w:t>
            </w:r>
          </w:p>
        </w:tc>
        <w:tc>
          <w:tcPr>
            <w:tcW w:type="dxa" w:w="1871"/>
          </w:tcPr>
          <w:p>
            <w:pPr>
              <w:spacing w:after="0" w:line="252" w:lineRule="auto"/>
              <w:jc w:val="right"/>
            </w:pPr>
            <w:r/>
            <w:r>
              <w:rPr>
                <w:sz w:val="20"/>
              </w:rPr>
              <w:t>0,08</w:t>
            </w:r>
          </w:p>
        </w:tc>
      </w:tr>
      <w:tr>
        <w:trPr>
          <w:cantSplit w:val="true"/>
        </w:trPr>
        <w:tc>
          <w:tcPr>
            <w:tcW w:type="dxa" w:w="5669"/>
            <w:shd w:val="clear" w:color="auto" w:fill="F3F7F4"/>
          </w:tcPr>
          <w:p>
            <w:pPr>
              <w:spacing w:after="0" w:line="252" w:lineRule="auto"/>
            </w:pPr>
            <w:r/>
            <w:r>
              <w:rPr>
                <w:sz w:val="20"/>
              </w:rPr>
              <w:t>Costo total</w:t>
            </w:r>
          </w:p>
        </w:tc>
        <w:tc>
          <w:tcPr>
            <w:tcW w:type="dxa" w:w="1814"/>
            <w:shd w:val="clear" w:color="auto" w:fill="F3F7F4"/>
          </w:tcPr>
          <w:p>
            <w:pPr>
              <w:spacing w:after="0" w:line="252" w:lineRule="auto"/>
              <w:jc w:val="right"/>
            </w:pPr>
            <w:r/>
            <w:r>
              <w:rPr>
                <w:sz w:val="20"/>
              </w:rPr>
              <w:t>50.741</w:t>
            </w:r>
          </w:p>
        </w:tc>
        <w:tc>
          <w:tcPr>
            <w:tcW w:type="dxa" w:w="1871"/>
            <w:shd w:val="clear" w:color="auto" w:fill="F3F7F4"/>
          </w:tcPr>
          <w:p>
            <w:pPr>
              <w:spacing w:after="0" w:line="252" w:lineRule="auto"/>
              <w:jc w:val="right"/>
            </w:pPr>
            <w:r/>
            <w:r>
              <w:rPr>
                <w:sz w:val="20"/>
              </w:rPr>
              <w:t>2,11</w:t>
            </w:r>
          </w:p>
        </w:tc>
      </w:tr>
      <w:tr>
        <w:trPr>
          <w:cantSplit w:val="true"/>
        </w:trPr>
        <w:tc>
          <w:tcPr>
            <w:tcW w:type="dxa" w:w="5669"/>
          </w:tcPr>
          <w:p>
            <w:pPr>
              <w:spacing w:after="0" w:line="252" w:lineRule="auto"/>
            </w:pPr>
            <w:r/>
            <w:r>
              <w:rPr>
                <w:sz w:val="20"/>
              </w:rPr>
              <w:t>Venta CIF al importador</w:t>
            </w:r>
          </w:p>
        </w:tc>
        <w:tc>
          <w:tcPr>
            <w:tcW w:type="dxa" w:w="1814"/>
          </w:tcPr>
          <w:p>
            <w:pPr>
              <w:spacing w:after="0" w:line="252" w:lineRule="auto"/>
              <w:jc w:val="right"/>
            </w:pPr>
            <w:r/>
            <w:r>
              <w:rPr>
                <w:sz w:val="20"/>
              </w:rPr>
              <w:t>61.200</w:t>
            </w:r>
          </w:p>
        </w:tc>
        <w:tc>
          <w:tcPr>
            <w:tcW w:type="dxa" w:w="1871"/>
          </w:tcPr>
          <w:p>
            <w:pPr>
              <w:spacing w:after="0" w:line="252" w:lineRule="auto"/>
              <w:jc w:val="right"/>
            </w:pPr>
            <w:r/>
            <w:r>
              <w:rPr>
                <w:sz w:val="20"/>
              </w:rPr>
              <w:t>2,55</w:t>
            </w:r>
          </w:p>
        </w:tc>
      </w:tr>
      <w:tr>
        <w:trPr>
          <w:cantSplit w:val="true"/>
        </w:trPr>
        <w:tc>
          <w:tcPr>
            <w:tcW w:type="dxa" w:w="5669"/>
            <w:shd w:val="clear" w:color="auto" w:fill="F3F7F4"/>
          </w:tcPr>
          <w:p>
            <w:pPr>
              <w:spacing w:after="0" w:line="252" w:lineRule="auto"/>
            </w:pPr>
            <w:r/>
            <w:r>
              <w:rPr>
                <w:sz w:val="20"/>
              </w:rPr>
              <w:t>Margen neto</w:t>
            </w:r>
          </w:p>
        </w:tc>
        <w:tc>
          <w:tcPr>
            <w:tcW w:type="dxa" w:w="1814"/>
            <w:shd w:val="clear" w:color="auto" w:fill="F3F7F4"/>
          </w:tcPr>
          <w:p>
            <w:pPr>
              <w:spacing w:after="0" w:line="252" w:lineRule="auto"/>
              <w:jc w:val="right"/>
            </w:pPr>
            <w:r/>
            <w:r>
              <w:rPr>
                <w:sz w:val="20"/>
              </w:rPr>
              <w:t>10.459</w:t>
            </w:r>
          </w:p>
        </w:tc>
        <w:tc>
          <w:tcPr>
            <w:tcW w:type="dxa" w:w="1871"/>
            <w:shd w:val="clear" w:color="auto" w:fill="F3F7F4"/>
          </w:tcPr>
          <w:p>
            <w:pPr>
              <w:spacing w:after="0" w:line="252" w:lineRule="auto"/>
              <w:jc w:val="right"/>
            </w:pPr>
            <w:r/>
            <w:r>
              <w:rPr>
                <w:sz w:val="20"/>
              </w:rPr>
              <w:t>0,44</w:t>
            </w:r>
          </w:p>
        </w:tc>
      </w:tr>
    </w:tbl>
    <w:p>
      <w:pPr>
        <w:spacing w:after="80"/>
      </w:pPr>
    </w:p>
    <w:p>
      <w:r>
        <w:rPr>
          <w:b w:val="0"/>
          <w:i w:val="0"/>
        </w:rPr>
        <w:t>El precio de venta CIF de USD 2,55 por kilo equivale a USD 2,36 FOB. El promedio de las exportaciones argentinas en el primer semestre de 2026 fue de unos USD 1,85 por kilo FOB (cálculo propio con datos aduaneros publicados). La diferencia debe justificarse con marca, packaging en tres idiomas y certificación halal, porque el mercado compara con yerba a granel.</w:t>
      </w:r>
    </w:p>
    <w:p>
      <w:pPr>
        <w:pStyle w:val="Heading1"/>
      </w:pPr>
      <w:r>
        <w:t>5. Proyección a tres años</w:t>
      </w:r>
    </w:p>
    <w:tbl>
      <w:tblPr>
        <w:tblW w:type="auto" w:w="0"/>
        <w:jc w:val="center"/>
        <w:tblLayout w:type="fixed"/>
        <w:tblLook w:firstColumn="1" w:firstRow="1" w:lastColumn="0" w:lastRow="0" w:noHBand="0" w:noVBand="1" w:val="04A0"/>
        <w:tblBorders>
          <w:top w:val="single" w:sz="4" w:color="C8D3CB"/>
          <w:left w:val="single" w:sz="4" w:color="C8D3CB"/>
          <w:bottom w:val="single" w:sz="4" w:color="C8D3CB"/>
          <w:right w:val="single" w:sz="4" w:color="C8D3CB"/>
          <w:insideH w:val="single" w:sz="4" w:color="C8D3CB"/>
          <w:insideV w:val="single" w:sz="4" w:color="C8D3CB"/>
        </w:tblBorders>
        <w:tblCellMar>
          <w:top w:w="60" w:type="dxa"/>
          <w:left w:w="100" w:type="dxa"/>
          <w:bottom w:w="60" w:type="dxa"/>
          <w:right w:w="100" w:type="dxa"/>
        </w:tblCellMar>
      </w:tblPr>
      <w:tblGrid>
        <w:gridCol w:w="2353"/>
        <w:gridCol w:w="2353"/>
        <w:gridCol w:w="2353"/>
        <w:gridCol w:w="2353"/>
      </w:tblGrid>
      <w:tr>
        <w:trPr>
          <w:tblHeader w:val="true"/>
          <w:cantSplit w:val="true"/>
        </w:trPr>
        <w:tc>
          <w:tcPr>
            <w:tcW w:type="dxa" w:w="3969"/>
            <w:shd w:val="clear" w:color="auto" w:fill="1F4D3A"/>
          </w:tcPr>
          <w:p>
            <w:pPr>
              <w:spacing w:after="0" w:line="252" w:lineRule="auto"/>
            </w:pPr>
            <w:r/>
            <w:r>
              <w:rPr>
                <w:b/>
                <w:color w:val="FFFFFF"/>
                <w:sz w:val="20"/>
              </w:rPr>
              <w:t>Concepto</w:t>
            </w:r>
          </w:p>
        </w:tc>
        <w:tc>
          <w:tcPr>
            <w:tcW w:type="dxa" w:w="1757"/>
            <w:shd w:val="clear" w:color="auto" w:fill="1F4D3A"/>
          </w:tcPr>
          <w:p>
            <w:pPr>
              <w:spacing w:after="0" w:line="252" w:lineRule="auto"/>
            </w:pPr>
            <w:r/>
            <w:r>
              <w:rPr>
                <w:b/>
                <w:color w:val="FFFFFF"/>
                <w:sz w:val="20"/>
              </w:rPr>
              <w:t>Año 1</w:t>
            </w:r>
          </w:p>
        </w:tc>
        <w:tc>
          <w:tcPr>
            <w:tcW w:type="dxa" w:w="1814"/>
            <w:shd w:val="clear" w:color="auto" w:fill="1F4D3A"/>
          </w:tcPr>
          <w:p>
            <w:pPr>
              <w:spacing w:after="0" w:line="252" w:lineRule="auto"/>
            </w:pPr>
            <w:r/>
            <w:r>
              <w:rPr>
                <w:b/>
                <w:color w:val="FFFFFF"/>
                <w:sz w:val="20"/>
              </w:rPr>
              <w:t>Año 2</w:t>
            </w:r>
          </w:p>
        </w:tc>
        <w:tc>
          <w:tcPr>
            <w:tcW w:type="dxa" w:w="1814"/>
            <w:shd w:val="clear" w:color="auto" w:fill="1F4D3A"/>
          </w:tcPr>
          <w:p>
            <w:pPr>
              <w:spacing w:after="0" w:line="252" w:lineRule="auto"/>
            </w:pPr>
            <w:r/>
            <w:r>
              <w:rPr>
                <w:b/>
                <w:color w:val="FFFFFF"/>
                <w:sz w:val="20"/>
              </w:rPr>
              <w:t>Año 3</w:t>
            </w:r>
          </w:p>
        </w:tc>
      </w:tr>
      <w:tr>
        <w:trPr>
          <w:cantSplit w:val="true"/>
        </w:trPr>
        <w:tc>
          <w:tcPr>
            <w:tcW w:type="dxa" w:w="3969"/>
          </w:tcPr>
          <w:p>
            <w:pPr>
              <w:spacing w:after="0" w:line="252" w:lineRule="auto"/>
            </w:pPr>
            <w:r/>
            <w:r>
              <w:rPr>
                <w:b/>
                <w:sz w:val="20"/>
              </w:rPr>
              <w:t>Contenedores de 40'</w:t>
            </w:r>
          </w:p>
        </w:tc>
        <w:tc>
          <w:tcPr>
            <w:tcW w:type="dxa" w:w="1757"/>
          </w:tcPr>
          <w:p>
            <w:pPr>
              <w:spacing w:after="0" w:line="252" w:lineRule="auto"/>
              <w:jc w:val="right"/>
            </w:pPr>
            <w:r/>
            <w:r>
              <w:rPr>
                <w:sz w:val="20"/>
              </w:rPr>
              <w:t>6</w:t>
            </w:r>
          </w:p>
        </w:tc>
        <w:tc>
          <w:tcPr>
            <w:tcW w:type="dxa" w:w="1814"/>
          </w:tcPr>
          <w:p>
            <w:pPr>
              <w:spacing w:after="0" w:line="252" w:lineRule="auto"/>
              <w:jc w:val="right"/>
            </w:pPr>
            <w:r/>
            <w:r>
              <w:rPr>
                <w:sz w:val="20"/>
              </w:rPr>
              <w:t>14</w:t>
            </w:r>
          </w:p>
        </w:tc>
        <w:tc>
          <w:tcPr>
            <w:tcW w:type="dxa" w:w="1814"/>
          </w:tcPr>
          <w:p>
            <w:pPr>
              <w:spacing w:after="0" w:line="252" w:lineRule="auto"/>
              <w:jc w:val="right"/>
            </w:pPr>
            <w:r/>
            <w:r>
              <w:rPr>
                <w:sz w:val="20"/>
              </w:rPr>
              <w:t>24</w:t>
            </w:r>
          </w:p>
        </w:tc>
      </w:tr>
      <w:tr>
        <w:trPr>
          <w:cantSplit w:val="true"/>
        </w:trPr>
        <w:tc>
          <w:tcPr>
            <w:tcW w:type="dxa" w:w="3969"/>
            <w:shd w:val="clear" w:color="auto" w:fill="F3F7F4"/>
          </w:tcPr>
          <w:p>
            <w:pPr>
              <w:spacing w:after="0" w:line="252" w:lineRule="auto"/>
            </w:pPr>
            <w:r/>
            <w:r>
              <w:rPr>
                <w:b/>
                <w:sz w:val="20"/>
              </w:rPr>
              <w:t>Ingresos por ventas</w:t>
            </w:r>
          </w:p>
        </w:tc>
        <w:tc>
          <w:tcPr>
            <w:tcW w:type="dxa" w:w="1757"/>
            <w:shd w:val="clear" w:color="auto" w:fill="F3F7F4"/>
          </w:tcPr>
          <w:p>
            <w:pPr>
              <w:spacing w:after="0" w:line="252" w:lineRule="auto"/>
              <w:jc w:val="right"/>
            </w:pPr>
            <w:r/>
            <w:r>
              <w:rPr>
                <w:sz w:val="20"/>
              </w:rPr>
              <w:t>367.200</w:t>
            </w:r>
          </w:p>
        </w:tc>
        <w:tc>
          <w:tcPr>
            <w:tcW w:type="dxa" w:w="1814"/>
            <w:shd w:val="clear" w:color="auto" w:fill="F3F7F4"/>
          </w:tcPr>
          <w:p>
            <w:pPr>
              <w:spacing w:after="0" w:line="252" w:lineRule="auto"/>
              <w:jc w:val="right"/>
            </w:pPr>
            <w:r/>
            <w:r>
              <w:rPr>
                <w:sz w:val="20"/>
              </w:rPr>
              <w:t>856.800</w:t>
            </w:r>
          </w:p>
        </w:tc>
        <w:tc>
          <w:tcPr>
            <w:tcW w:type="dxa" w:w="1814"/>
            <w:shd w:val="clear" w:color="auto" w:fill="F3F7F4"/>
          </w:tcPr>
          <w:p>
            <w:pPr>
              <w:spacing w:after="0" w:line="252" w:lineRule="auto"/>
              <w:jc w:val="right"/>
            </w:pPr>
            <w:r/>
            <w:r>
              <w:rPr>
                <w:sz w:val="20"/>
              </w:rPr>
              <w:t>1.468.800</w:t>
            </w:r>
          </w:p>
        </w:tc>
      </w:tr>
      <w:tr>
        <w:trPr>
          <w:cantSplit w:val="true"/>
        </w:trPr>
        <w:tc>
          <w:tcPr>
            <w:tcW w:type="dxa" w:w="3969"/>
          </w:tcPr>
          <w:p>
            <w:pPr>
              <w:spacing w:after="0" w:line="252" w:lineRule="auto"/>
            </w:pPr>
            <w:r/>
            <w:r>
              <w:rPr>
                <w:b/>
                <w:sz w:val="20"/>
              </w:rPr>
              <w:t>Costos variables</w:t>
            </w:r>
          </w:p>
        </w:tc>
        <w:tc>
          <w:tcPr>
            <w:tcW w:type="dxa" w:w="1757"/>
          </w:tcPr>
          <w:p>
            <w:pPr>
              <w:spacing w:after="0" w:line="252" w:lineRule="auto"/>
              <w:jc w:val="right"/>
            </w:pPr>
            <w:r/>
            <w:r>
              <w:rPr>
                <w:sz w:val="20"/>
              </w:rPr>
              <w:t>304.446</w:t>
            </w:r>
          </w:p>
        </w:tc>
        <w:tc>
          <w:tcPr>
            <w:tcW w:type="dxa" w:w="1814"/>
          </w:tcPr>
          <w:p>
            <w:pPr>
              <w:spacing w:after="0" w:line="252" w:lineRule="auto"/>
              <w:jc w:val="right"/>
            </w:pPr>
            <w:r/>
            <w:r>
              <w:rPr>
                <w:sz w:val="20"/>
              </w:rPr>
              <w:t>710.375</w:t>
            </w:r>
          </w:p>
        </w:tc>
        <w:tc>
          <w:tcPr>
            <w:tcW w:type="dxa" w:w="1814"/>
          </w:tcPr>
          <w:p>
            <w:pPr>
              <w:spacing w:after="0" w:line="252" w:lineRule="auto"/>
              <w:jc w:val="right"/>
            </w:pPr>
            <w:r/>
            <w:r>
              <w:rPr>
                <w:sz w:val="20"/>
              </w:rPr>
              <w:t>1.217.786</w:t>
            </w:r>
          </w:p>
        </w:tc>
      </w:tr>
      <w:tr>
        <w:trPr>
          <w:cantSplit w:val="true"/>
        </w:trPr>
        <w:tc>
          <w:tcPr>
            <w:tcW w:type="dxa" w:w="3969"/>
            <w:shd w:val="clear" w:color="auto" w:fill="F3F7F4"/>
          </w:tcPr>
          <w:p>
            <w:pPr>
              <w:spacing w:after="0" w:line="252" w:lineRule="auto"/>
            </w:pPr>
            <w:r/>
            <w:r>
              <w:rPr>
                <w:b/>
                <w:sz w:val="20"/>
              </w:rPr>
              <w:t>Margen de contribución</w:t>
            </w:r>
          </w:p>
        </w:tc>
        <w:tc>
          <w:tcPr>
            <w:tcW w:type="dxa" w:w="1757"/>
            <w:shd w:val="clear" w:color="auto" w:fill="F3F7F4"/>
          </w:tcPr>
          <w:p>
            <w:pPr>
              <w:spacing w:after="0" w:line="252" w:lineRule="auto"/>
              <w:jc w:val="right"/>
            </w:pPr>
            <w:r/>
            <w:r>
              <w:rPr>
                <w:sz w:val="20"/>
              </w:rPr>
              <w:t>62.754</w:t>
            </w:r>
          </w:p>
        </w:tc>
        <w:tc>
          <w:tcPr>
            <w:tcW w:type="dxa" w:w="1814"/>
            <w:shd w:val="clear" w:color="auto" w:fill="F3F7F4"/>
          </w:tcPr>
          <w:p>
            <w:pPr>
              <w:spacing w:after="0" w:line="252" w:lineRule="auto"/>
              <w:jc w:val="right"/>
            </w:pPr>
            <w:r/>
            <w:r>
              <w:rPr>
                <w:sz w:val="20"/>
              </w:rPr>
              <w:t>146.425</w:t>
            </w:r>
          </w:p>
        </w:tc>
        <w:tc>
          <w:tcPr>
            <w:tcW w:type="dxa" w:w="1814"/>
            <w:shd w:val="clear" w:color="auto" w:fill="F3F7F4"/>
          </w:tcPr>
          <w:p>
            <w:pPr>
              <w:spacing w:after="0" w:line="252" w:lineRule="auto"/>
              <w:jc w:val="right"/>
            </w:pPr>
            <w:r/>
            <w:r>
              <w:rPr>
                <w:sz w:val="20"/>
              </w:rPr>
              <w:t>251.014</w:t>
            </w:r>
          </w:p>
        </w:tc>
      </w:tr>
      <w:tr>
        <w:trPr>
          <w:cantSplit w:val="true"/>
        </w:trPr>
        <w:tc>
          <w:tcPr>
            <w:tcW w:type="dxa" w:w="3969"/>
          </w:tcPr>
          <w:p>
            <w:pPr>
              <w:spacing w:after="0" w:line="252" w:lineRule="auto"/>
            </w:pPr>
            <w:r/>
            <w:r>
              <w:rPr>
                <w:b/>
                <w:sz w:val="20"/>
              </w:rPr>
              <w:t>Costos fijos</w:t>
            </w:r>
          </w:p>
        </w:tc>
        <w:tc>
          <w:tcPr>
            <w:tcW w:type="dxa" w:w="1757"/>
          </w:tcPr>
          <w:p>
            <w:pPr>
              <w:spacing w:after="0" w:line="252" w:lineRule="auto"/>
              <w:jc w:val="right"/>
            </w:pPr>
            <w:r/>
            <w:r>
              <w:rPr>
                <w:sz w:val="20"/>
              </w:rPr>
              <w:t>0</w:t>
            </w:r>
          </w:p>
        </w:tc>
        <w:tc>
          <w:tcPr>
            <w:tcW w:type="dxa" w:w="1814"/>
          </w:tcPr>
          <w:p>
            <w:pPr>
              <w:spacing w:after="0" w:line="252" w:lineRule="auto"/>
              <w:jc w:val="right"/>
            </w:pPr>
            <w:r/>
            <w:r>
              <w:rPr>
                <w:sz w:val="20"/>
              </w:rPr>
              <w:t>26.600</w:t>
            </w:r>
          </w:p>
        </w:tc>
        <w:tc>
          <w:tcPr>
            <w:tcW w:type="dxa" w:w="1814"/>
          </w:tcPr>
          <w:p>
            <w:pPr>
              <w:spacing w:after="0" w:line="252" w:lineRule="auto"/>
              <w:jc w:val="right"/>
            </w:pPr>
            <w:r/>
            <w:r>
              <w:rPr>
                <w:sz w:val="20"/>
              </w:rPr>
              <w:t>26.600</w:t>
            </w:r>
          </w:p>
        </w:tc>
      </w:tr>
      <w:tr>
        <w:trPr>
          <w:cantSplit w:val="true"/>
        </w:trPr>
        <w:tc>
          <w:tcPr>
            <w:tcW w:type="dxa" w:w="3969"/>
            <w:shd w:val="clear" w:color="auto" w:fill="F3F7F4"/>
          </w:tcPr>
          <w:p>
            <w:pPr>
              <w:spacing w:after="0" w:line="252" w:lineRule="auto"/>
            </w:pPr>
            <w:r/>
            <w:r>
              <w:rPr>
                <w:b/>
                <w:sz w:val="20"/>
              </w:rPr>
              <w:t>Inversión inicial</w:t>
            </w:r>
          </w:p>
        </w:tc>
        <w:tc>
          <w:tcPr>
            <w:tcW w:type="dxa" w:w="1757"/>
            <w:shd w:val="clear" w:color="auto" w:fill="F3F7F4"/>
          </w:tcPr>
          <w:p>
            <w:pPr>
              <w:spacing w:after="0" w:line="252" w:lineRule="auto"/>
              <w:jc w:val="right"/>
            </w:pPr>
            <w:r/>
            <w:r>
              <w:rPr>
                <w:sz w:val="20"/>
              </w:rPr>
              <w:t>75.810</w:t>
            </w:r>
          </w:p>
        </w:tc>
        <w:tc>
          <w:tcPr>
            <w:tcW w:type="dxa" w:w="1814"/>
            <w:shd w:val="clear" w:color="auto" w:fill="F3F7F4"/>
          </w:tcPr>
          <w:p>
            <w:pPr>
              <w:spacing w:after="0" w:line="252" w:lineRule="auto"/>
              <w:jc w:val="right"/>
            </w:pPr>
            <w:r/>
            <w:r>
              <w:rPr>
                <w:sz w:val="20"/>
              </w:rPr>
              <w:t>0</w:t>
            </w:r>
          </w:p>
        </w:tc>
        <w:tc>
          <w:tcPr>
            <w:tcW w:type="dxa" w:w="1814"/>
            <w:shd w:val="clear" w:color="auto" w:fill="F3F7F4"/>
          </w:tcPr>
          <w:p>
            <w:pPr>
              <w:spacing w:after="0" w:line="252" w:lineRule="auto"/>
              <w:jc w:val="right"/>
            </w:pPr>
            <w:r/>
            <w:r>
              <w:rPr>
                <w:sz w:val="20"/>
              </w:rPr>
              <w:t>0</w:t>
            </w:r>
          </w:p>
        </w:tc>
      </w:tr>
      <w:tr>
        <w:trPr>
          <w:cantSplit w:val="true"/>
        </w:trPr>
        <w:tc>
          <w:tcPr>
            <w:tcW w:type="dxa" w:w="3969"/>
          </w:tcPr>
          <w:p>
            <w:pPr>
              <w:spacing w:after="0" w:line="252" w:lineRule="auto"/>
            </w:pPr>
            <w:r/>
            <w:r>
              <w:rPr>
                <w:b/>
                <w:sz w:val="20"/>
              </w:rPr>
              <w:t>Flujo neto del año</w:t>
            </w:r>
          </w:p>
        </w:tc>
        <w:tc>
          <w:tcPr>
            <w:tcW w:type="dxa" w:w="1757"/>
          </w:tcPr>
          <w:p>
            <w:pPr>
              <w:spacing w:after="0" w:line="252" w:lineRule="auto"/>
              <w:jc w:val="right"/>
            </w:pPr>
            <w:r/>
            <w:r>
              <w:rPr>
                <w:sz w:val="20"/>
              </w:rPr>
              <w:t>-13.056</w:t>
            </w:r>
          </w:p>
        </w:tc>
        <w:tc>
          <w:tcPr>
            <w:tcW w:type="dxa" w:w="1814"/>
          </w:tcPr>
          <w:p>
            <w:pPr>
              <w:spacing w:after="0" w:line="252" w:lineRule="auto"/>
              <w:jc w:val="right"/>
            </w:pPr>
            <w:r/>
            <w:r>
              <w:rPr>
                <w:sz w:val="20"/>
              </w:rPr>
              <w:t>119.825</w:t>
            </w:r>
          </w:p>
        </w:tc>
        <w:tc>
          <w:tcPr>
            <w:tcW w:type="dxa" w:w="1814"/>
          </w:tcPr>
          <w:p>
            <w:pPr>
              <w:spacing w:after="0" w:line="252" w:lineRule="auto"/>
              <w:jc w:val="right"/>
            </w:pPr>
            <w:r/>
            <w:r>
              <w:rPr>
                <w:sz w:val="20"/>
              </w:rPr>
              <w:t>224.414</w:t>
            </w:r>
          </w:p>
        </w:tc>
      </w:tr>
      <w:tr>
        <w:trPr>
          <w:cantSplit w:val="true"/>
        </w:trPr>
        <w:tc>
          <w:tcPr>
            <w:tcW w:type="dxa" w:w="3969"/>
            <w:shd w:val="clear" w:color="auto" w:fill="F3F7F4"/>
          </w:tcPr>
          <w:p>
            <w:pPr>
              <w:spacing w:after="0" w:line="252" w:lineRule="auto"/>
            </w:pPr>
            <w:r/>
            <w:r>
              <w:rPr>
                <w:b/>
                <w:sz w:val="20"/>
              </w:rPr>
              <w:t>Flujo acumulado</w:t>
            </w:r>
          </w:p>
        </w:tc>
        <w:tc>
          <w:tcPr>
            <w:tcW w:type="dxa" w:w="1757"/>
            <w:shd w:val="clear" w:color="auto" w:fill="F3F7F4"/>
          </w:tcPr>
          <w:p>
            <w:pPr>
              <w:spacing w:after="0" w:line="252" w:lineRule="auto"/>
              <w:jc w:val="right"/>
            </w:pPr>
            <w:r/>
            <w:r>
              <w:rPr>
                <w:sz w:val="20"/>
              </w:rPr>
              <w:t>-13.056</w:t>
            </w:r>
          </w:p>
        </w:tc>
        <w:tc>
          <w:tcPr>
            <w:tcW w:type="dxa" w:w="1814"/>
            <w:shd w:val="clear" w:color="auto" w:fill="F3F7F4"/>
          </w:tcPr>
          <w:p>
            <w:pPr>
              <w:spacing w:after="0" w:line="252" w:lineRule="auto"/>
              <w:jc w:val="right"/>
            </w:pPr>
            <w:r/>
            <w:r>
              <w:rPr>
                <w:sz w:val="20"/>
              </w:rPr>
              <w:t>106.768</w:t>
            </w:r>
          </w:p>
        </w:tc>
        <w:tc>
          <w:tcPr>
            <w:tcW w:type="dxa" w:w="1814"/>
            <w:shd w:val="clear" w:color="auto" w:fill="F3F7F4"/>
          </w:tcPr>
          <w:p>
            <w:pPr>
              <w:spacing w:after="0" w:line="252" w:lineRule="auto"/>
              <w:jc w:val="right"/>
            </w:pPr>
            <w:r/>
            <w:r>
              <w:rPr>
                <w:sz w:val="20"/>
              </w:rPr>
              <w:t>331.182</w:t>
            </w:r>
          </w:p>
        </w:tc>
      </w:tr>
    </w:tbl>
    <w:p>
      <w:pPr>
        <w:spacing w:after="80"/>
      </w:pPr>
    </w:p>
    <w:p>
      <w:r>
        <w:rPr>
          <w:b w:val="0"/>
          <w:i w:val="0"/>
        </w:rPr>
        <w:t>Los costos fijos de los años 2 y 3 (USD 26.600 por año) incluyen mantenimiento web, agente comercial en destino, una feria por año y consultoría de seguimiento. El año 1 cierra con un flujo levemente negativo porque se paga toda la inversión inicial y los embarques empiezan recién en el mes 7. La inversión se recupera durante el segundo año, alrededor del mes 13.</w:t>
      </w:r>
    </w:p>
    <w:p>
      <w:pPr>
        <w:pStyle w:val="Heading1"/>
      </w:pPr>
      <w:r>
        <w:t>6. Escenarios</w:t>
      </w:r>
    </w:p>
    <w:tbl>
      <w:tblPr>
        <w:tblW w:type="auto" w:w="0"/>
        <w:jc w:val="center"/>
        <w:tblLayout w:type="fixed"/>
        <w:tblLook w:firstColumn="1" w:firstRow="1" w:lastColumn="0" w:lastRow="0" w:noHBand="0" w:noVBand="1" w:val="04A0"/>
        <w:tblBorders>
          <w:top w:val="single" w:sz="4" w:color="C8D3CB"/>
          <w:left w:val="single" w:sz="4" w:color="C8D3CB"/>
          <w:bottom w:val="single" w:sz="4" w:color="C8D3CB"/>
          <w:right w:val="single" w:sz="4" w:color="C8D3CB"/>
          <w:insideH w:val="single" w:sz="4" w:color="C8D3CB"/>
          <w:insideV w:val="single" w:sz="4" w:color="C8D3CB"/>
        </w:tblBorders>
        <w:tblCellMar>
          <w:top w:w="60" w:type="dxa"/>
          <w:left w:w="100" w:type="dxa"/>
          <w:bottom w:w="60" w:type="dxa"/>
          <w:right w:w="100" w:type="dxa"/>
        </w:tblCellMar>
      </w:tblPr>
      <w:tblGrid>
        <w:gridCol w:w="1882"/>
        <w:gridCol w:w="1882"/>
        <w:gridCol w:w="1882"/>
        <w:gridCol w:w="1882"/>
        <w:gridCol w:w="1882"/>
      </w:tblGrid>
      <w:tr>
        <w:trPr>
          <w:tblHeader w:val="true"/>
          <w:cantSplit w:val="true"/>
        </w:trPr>
        <w:tc>
          <w:tcPr>
            <w:tcW w:type="dxa" w:w="1701"/>
            <w:shd w:val="clear" w:color="auto" w:fill="1F4D3A"/>
          </w:tcPr>
          <w:p>
            <w:pPr>
              <w:spacing w:after="0" w:line="252" w:lineRule="auto"/>
            </w:pPr>
            <w:r/>
            <w:r>
              <w:rPr>
                <w:b/>
                <w:color w:val="FFFFFF"/>
                <w:sz w:val="20"/>
              </w:rPr>
              <w:t>Escenario</w:t>
            </w:r>
          </w:p>
        </w:tc>
        <w:tc>
          <w:tcPr>
            <w:tcW w:type="dxa" w:w="1304"/>
            <w:shd w:val="clear" w:color="auto" w:fill="1F4D3A"/>
          </w:tcPr>
          <w:p>
            <w:pPr>
              <w:spacing w:after="0" w:line="252" w:lineRule="auto"/>
            </w:pPr>
            <w:r/>
            <w:r>
              <w:rPr>
                <w:b/>
                <w:color w:val="FFFFFF"/>
                <w:sz w:val="20"/>
              </w:rPr>
              <w:t>Precio</w:t>
            </w:r>
          </w:p>
        </w:tc>
        <w:tc>
          <w:tcPr>
            <w:tcW w:type="dxa" w:w="1304"/>
            <w:shd w:val="clear" w:color="auto" w:fill="1F4D3A"/>
          </w:tcPr>
          <w:p>
            <w:pPr>
              <w:spacing w:after="0" w:line="252" w:lineRule="auto"/>
            </w:pPr>
            <w:r/>
            <w:r>
              <w:rPr>
                <w:b/>
                <w:color w:val="FFFFFF"/>
                <w:sz w:val="20"/>
              </w:rPr>
              <w:t>Volumen</w:t>
            </w:r>
          </w:p>
        </w:tc>
        <w:tc>
          <w:tcPr>
            <w:tcW w:type="dxa" w:w="2381"/>
            <w:shd w:val="clear" w:color="auto" w:fill="1F4D3A"/>
          </w:tcPr>
          <w:p>
            <w:pPr>
              <w:spacing w:after="0" w:line="252" w:lineRule="auto"/>
            </w:pPr>
            <w:r/>
            <w:r>
              <w:rPr>
                <w:b/>
                <w:color w:val="FFFFFF"/>
                <w:sz w:val="20"/>
              </w:rPr>
              <w:t>Margen por contenedor (USD)</w:t>
            </w:r>
          </w:p>
        </w:tc>
        <w:tc>
          <w:tcPr>
            <w:tcW w:type="dxa" w:w="2665"/>
            <w:shd w:val="clear" w:color="auto" w:fill="1F4D3A"/>
          </w:tcPr>
          <w:p>
            <w:pPr>
              <w:spacing w:after="0" w:line="252" w:lineRule="auto"/>
            </w:pPr>
            <w:r/>
            <w:r>
              <w:rPr>
                <w:b/>
                <w:color w:val="FFFFFF"/>
                <w:sz w:val="20"/>
              </w:rPr>
              <w:t>Flujo acumulado a 3 años (USD)</w:t>
            </w:r>
          </w:p>
        </w:tc>
      </w:tr>
      <w:tr>
        <w:trPr>
          <w:cantSplit w:val="true"/>
        </w:trPr>
        <w:tc>
          <w:tcPr>
            <w:tcW w:type="dxa" w:w="1701"/>
          </w:tcPr>
          <w:p>
            <w:pPr>
              <w:spacing w:after="0" w:line="252" w:lineRule="auto"/>
            </w:pPr>
            <w:r/>
            <w:r>
              <w:rPr>
                <w:b/>
                <w:sz w:val="20"/>
              </w:rPr>
              <w:t>Pesimista</w:t>
            </w:r>
          </w:p>
        </w:tc>
        <w:tc>
          <w:tcPr>
            <w:tcW w:type="dxa" w:w="1304"/>
          </w:tcPr>
          <w:p>
            <w:pPr>
              <w:spacing w:after="0" w:line="252" w:lineRule="auto"/>
              <w:jc w:val="right"/>
            </w:pPr>
            <w:r/>
            <w:r>
              <w:rPr>
                <w:sz w:val="20"/>
              </w:rPr>
              <w:t>-10 %</w:t>
            </w:r>
          </w:p>
        </w:tc>
        <w:tc>
          <w:tcPr>
            <w:tcW w:type="dxa" w:w="1304"/>
          </w:tcPr>
          <w:p>
            <w:pPr>
              <w:spacing w:after="0" w:line="252" w:lineRule="auto"/>
              <w:jc w:val="right"/>
            </w:pPr>
            <w:r/>
            <w:r>
              <w:rPr>
                <w:sz w:val="20"/>
              </w:rPr>
              <w:t>-30 %</w:t>
            </w:r>
          </w:p>
        </w:tc>
        <w:tc>
          <w:tcPr>
            <w:tcW w:type="dxa" w:w="2381"/>
          </w:tcPr>
          <w:p>
            <w:pPr>
              <w:spacing w:after="0" w:line="252" w:lineRule="auto"/>
              <w:jc w:val="right"/>
            </w:pPr>
            <w:r/>
            <w:r>
              <w:rPr>
                <w:sz w:val="20"/>
              </w:rPr>
              <w:t>4.571</w:t>
            </w:r>
          </w:p>
        </w:tc>
        <w:tc>
          <w:tcPr>
            <w:tcW w:type="dxa" w:w="2665"/>
          </w:tcPr>
          <w:p>
            <w:pPr>
              <w:spacing w:after="0" w:line="252" w:lineRule="auto"/>
              <w:jc w:val="right"/>
            </w:pPr>
            <w:r/>
            <w:r>
              <w:rPr>
                <w:sz w:val="20"/>
              </w:rPr>
              <w:t>11.792</w:t>
            </w:r>
          </w:p>
        </w:tc>
      </w:tr>
      <w:tr>
        <w:trPr>
          <w:cantSplit w:val="true"/>
        </w:trPr>
        <w:tc>
          <w:tcPr>
            <w:tcW w:type="dxa" w:w="1701"/>
            <w:shd w:val="clear" w:color="auto" w:fill="F3F7F4"/>
          </w:tcPr>
          <w:p>
            <w:pPr>
              <w:spacing w:after="0" w:line="252" w:lineRule="auto"/>
            </w:pPr>
            <w:r/>
            <w:r>
              <w:rPr>
                <w:b/>
                <w:sz w:val="20"/>
              </w:rPr>
              <w:t>Base</w:t>
            </w:r>
          </w:p>
        </w:tc>
        <w:tc>
          <w:tcPr>
            <w:tcW w:type="dxa" w:w="1304"/>
            <w:shd w:val="clear" w:color="auto" w:fill="F3F7F4"/>
          </w:tcPr>
          <w:p>
            <w:pPr>
              <w:spacing w:after="0" w:line="252" w:lineRule="auto"/>
              <w:jc w:val="right"/>
            </w:pPr>
            <w:r/>
            <w:r>
              <w:rPr>
                <w:sz w:val="20"/>
              </w:rPr>
              <w:t>+0 %</w:t>
            </w:r>
          </w:p>
        </w:tc>
        <w:tc>
          <w:tcPr>
            <w:tcW w:type="dxa" w:w="1304"/>
            <w:shd w:val="clear" w:color="auto" w:fill="F3F7F4"/>
          </w:tcPr>
          <w:p>
            <w:pPr>
              <w:spacing w:after="0" w:line="252" w:lineRule="auto"/>
              <w:jc w:val="right"/>
            </w:pPr>
            <w:r/>
            <w:r>
              <w:rPr>
                <w:sz w:val="20"/>
              </w:rPr>
              <w:t>+0 %</w:t>
            </w:r>
          </w:p>
        </w:tc>
        <w:tc>
          <w:tcPr>
            <w:tcW w:type="dxa" w:w="2381"/>
            <w:shd w:val="clear" w:color="auto" w:fill="F3F7F4"/>
          </w:tcPr>
          <w:p>
            <w:pPr>
              <w:spacing w:after="0" w:line="252" w:lineRule="auto"/>
              <w:jc w:val="right"/>
            </w:pPr>
            <w:r/>
            <w:r>
              <w:rPr>
                <w:sz w:val="20"/>
              </w:rPr>
              <w:t>10.459</w:t>
            </w:r>
          </w:p>
        </w:tc>
        <w:tc>
          <w:tcPr>
            <w:tcW w:type="dxa" w:w="2665"/>
            <w:shd w:val="clear" w:color="auto" w:fill="F3F7F4"/>
          </w:tcPr>
          <w:p>
            <w:pPr>
              <w:spacing w:after="0" w:line="252" w:lineRule="auto"/>
              <w:jc w:val="right"/>
            </w:pPr>
            <w:r/>
            <w:r>
              <w:rPr>
                <w:sz w:val="20"/>
              </w:rPr>
              <w:t>331.182</w:t>
            </w:r>
          </w:p>
        </w:tc>
      </w:tr>
      <w:tr>
        <w:trPr>
          <w:cantSplit w:val="true"/>
        </w:trPr>
        <w:tc>
          <w:tcPr>
            <w:tcW w:type="dxa" w:w="1701"/>
          </w:tcPr>
          <w:p>
            <w:pPr>
              <w:spacing w:after="0" w:line="252" w:lineRule="auto"/>
            </w:pPr>
            <w:r/>
            <w:r>
              <w:rPr>
                <w:b/>
                <w:sz w:val="20"/>
              </w:rPr>
              <w:t>Optimista</w:t>
            </w:r>
          </w:p>
        </w:tc>
        <w:tc>
          <w:tcPr>
            <w:tcW w:type="dxa" w:w="1304"/>
          </w:tcPr>
          <w:p>
            <w:pPr>
              <w:spacing w:after="0" w:line="252" w:lineRule="auto"/>
              <w:jc w:val="right"/>
            </w:pPr>
            <w:r/>
            <w:r>
              <w:rPr>
                <w:sz w:val="20"/>
              </w:rPr>
              <w:t>+5 %</w:t>
            </w:r>
          </w:p>
        </w:tc>
        <w:tc>
          <w:tcPr>
            <w:tcW w:type="dxa" w:w="1304"/>
          </w:tcPr>
          <w:p>
            <w:pPr>
              <w:spacing w:after="0" w:line="252" w:lineRule="auto"/>
              <w:jc w:val="right"/>
            </w:pPr>
            <w:r/>
            <w:r>
              <w:rPr>
                <w:sz w:val="20"/>
              </w:rPr>
              <w:t>+20 %</w:t>
            </w:r>
          </w:p>
        </w:tc>
        <w:tc>
          <w:tcPr>
            <w:tcW w:type="dxa" w:w="2381"/>
          </w:tcPr>
          <w:p>
            <w:pPr>
              <w:spacing w:after="0" w:line="252" w:lineRule="auto"/>
              <w:jc w:val="right"/>
            </w:pPr>
            <w:r/>
            <w:r>
              <w:rPr>
                <w:sz w:val="20"/>
              </w:rPr>
              <w:t>13.403</w:t>
            </w:r>
          </w:p>
        </w:tc>
        <w:tc>
          <w:tcPr>
            <w:tcW w:type="dxa" w:w="2665"/>
          </w:tcPr>
          <w:p>
            <w:pPr>
              <w:spacing w:after="0" w:line="252" w:lineRule="auto"/>
              <w:jc w:val="right"/>
            </w:pPr>
            <w:r/>
            <w:r>
              <w:rPr>
                <w:sz w:val="20"/>
              </w:rPr>
              <w:t>578.649</w:t>
            </w:r>
          </w:p>
        </w:tc>
      </w:tr>
    </w:tbl>
    <w:p>
      <w:pPr>
        <w:spacing w:after="80"/>
      </w:pP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CellMar>
          <w:top w:w="100" w:type="dxa"/>
          <w:left w:w="160" w:type="dxa"/>
          <w:bottom w:w="100" w:type="dxa"/>
          <w:right w:w="160" w:type="dxa"/>
        </w:tblCellMar>
      </w:tblPr>
      <w:tblGrid>
        <w:gridCol w:w="9412"/>
      </w:tblGrid>
      <w:tr>
        <w:tc>
          <w:tcPr>
            <w:tcW w:type="dxa" w:w="9412"/>
            <w:shd w:val="clear" w:color="auto" w:fill="F3F7F4"/>
          </w:tcPr>
          <w:p>
            <w:pPr>
              <w:spacing w:after="0"/>
            </w:pPr>
            <w:r/>
            <w:r>
              <w:rPr>
                <w:b/>
                <w:sz w:val="21"/>
              </w:rPr>
              <w:t xml:space="preserve">Precio mínimo. </w:t>
            </w:r>
            <w:r>
              <w:rPr>
                <w:sz w:val="21"/>
              </w:rPr>
              <w:t>Con un precio CIF de USD 2,10 por kilo el contenedor deja margen cero. Eso es 18 % menos que el precio previsto: es el colchón del proyecto frente a la competencia.</w:t>
            </w:r>
          </w:p>
        </w:tc>
      </w:tr>
    </w:tbl>
    <w:p>
      <w:pPr>
        <w:spacing w:after="80"/>
      </w:pPr>
    </w:p>
    <w:p>
      <w:pPr>
        <w:pStyle w:val="Heading1"/>
      </w:pPr>
      <w:r>
        <w:t>7. Financiamiento</w:t>
      </w:r>
    </w:p>
    <w:p>
      <w:pPr>
        <w:pStyle w:val="ListBullet"/>
        <w:spacing w:after="60"/>
      </w:pPr>
      <w:r>
        <w:rPr>
          <w:b/>
        </w:rPr>
        <w:t xml:space="preserve">Inversión inicial: </w:t>
      </w:r>
      <w:r>
        <w:t>USD 75.810. Puede financiarse con capital propio de la yerbatera y, en parte, con programas de promoción de exportaciones o financiamiento de bancos.</w:t>
      </w:r>
    </w:p>
    <w:p>
      <w:pPr>
        <w:pStyle w:val="ListBullet"/>
        <w:spacing w:after="60"/>
      </w:pPr>
      <w:r>
        <w:rPr>
          <w:b/>
        </w:rPr>
        <w:t xml:space="preserve">Capital de trabajo: </w:t>
      </w:r>
      <w:r>
        <w:t>USD 40.282 con la seña del 50 % que exige el sitio (sin seña serían USD 101.482). Se reduce más si se descuenta la carta de crédito.</w:t>
      </w:r>
    </w:p>
    <w:p>
      <w:pPr>
        <w:pStyle w:val="ListBullet"/>
        <w:spacing w:after="60"/>
      </w:pPr>
      <w:r>
        <w:rPr>
          <w:b/>
        </w:rPr>
        <w:t xml:space="preserve">Seguro de crédito: </w:t>
      </w:r>
      <w:r>
        <w:t>recomendado cuando el pago no está respaldado por una carta de crédito confirmada.</w:t>
      </w:r>
    </w:p>
    <w:p>
      <w:pPr>
        <w:pStyle w:val="Heading1"/>
      </w:pPr>
      <w:r>
        <w:t>8. Qué no incluyen los números</w:t>
      </w:r>
    </w:p>
    <w:p>
      <w:pPr>
        <w:pStyle w:val="ListBullet"/>
        <w:spacing w:after="60"/>
      </w:pPr>
      <w:r>
        <w:t>Impuesto a las ganancias y otros impuestos locales. Las exportaciones están exentas de IVA y el crédito fiscal se recupera, pero el trámite tarda y no se modeló.</w:t>
      </w:r>
    </w:p>
    <w:p>
      <w:pPr>
        <w:pStyle w:val="ListBullet"/>
        <w:spacing w:after="60"/>
      </w:pPr>
      <w:r>
        <w:t>Derechos de exportación: se supuso 0 %. Verificar la alícuota vigente en ARCA antes de cerrar precios.</w:t>
      </w:r>
    </w:p>
    <w:p>
      <w:pPr>
        <w:pStyle w:val="ListBullet"/>
        <w:spacing w:after="60"/>
      </w:pPr>
      <w:r>
        <w:t>Costo financiero de los plazos de pago y variaciones de tipo de cambio.</w:t>
      </w:r>
    </w:p>
    <w:p>
      <w:pPr>
        <w:pStyle w:val="ListBullet"/>
        <w:spacing w:after="60"/>
      </w:pPr>
      <w:r>
        <w:t>Reintegros por exportación y programas de promoción, que podrían mejorar el resultado.</w:t>
      </w:r>
    </w:p>
    <w:p>
      <w:pPr>
        <w:pStyle w:val="ListBullet"/>
        <w:spacing w:after="60"/>
      </w:pPr>
      <w:r>
        <w:t>Costos de adaptación de la planta (por ejemplo, si el cliente debe mejorar instalaciones para cumplir requisitos sanitarios de destino).</w:t>
      </w:r>
    </w:p>
    <w:p>
      <w:pPr>
        <w:pStyle w:val="Heading1"/>
      </w:pPr>
      <w:r>
        <w:t>9. Cómo usar la planilla de Excel</w:t>
      </w:r>
    </w:p>
    <w:p>
      <w:pPr>
        <w:pStyle w:val="ListNumber"/>
        <w:spacing w:after="60"/>
      </w:pPr>
      <w:r>
        <w:t>Abrí Costos_del_Proyecto_ASHAB.xlsx.</w:t>
      </w:r>
    </w:p>
    <w:p>
      <w:pPr>
        <w:pStyle w:val="ListNumber"/>
        <w:spacing w:after="60"/>
      </w:pPr>
      <w:r>
        <w:t>En la hoja «Supuestos» cambiá solo las celdas azules.</w:t>
      </w:r>
    </w:p>
    <w:p>
      <w:pPr>
        <w:pStyle w:val="ListNumber"/>
        <w:spacing w:after="60"/>
      </w:pPr>
      <w:r>
        <w:t>Las hojas «Costo por contenedor», «Inversión inicial», «Proyección 3 años» y «Escenarios» se recalculan solas.</w:t>
      </w:r>
    </w:p>
    <w:p>
      <w:pPr>
        <w:pStyle w:val="ListNumber"/>
        <w:spacing w:after="60"/>
      </w:pPr>
      <w:r>
        <w:t>Para estudiar otro precio, cambiá «Precio de venta CIF» y mirá el margen por contenedor.</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8"/>
      </w:rPr>
      <w:t xml:space="preserve">Costo del proyecto ASHAB  ·  Página </w:t>
    </w:r>
    <w:r>
      <w:rPr>
        <w:color w:val="777777"/>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mbria" w:hAnsi="Cambria"/>
      <w:b/>
      <w:bCs/>
      <w:color w:val="1F4D3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1F4D3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8A6A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