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AGCO Registrar's Standards for Internet Gaming (2026)</w:t>
      </w:r>
    </w:p>
    <w:p>
      <w:pPr>
        <w:pStyle w:val="MdParagraph"/>
      </w:pPr>
      <w:r>
        <w:rPr>
          <w:rStyle w:val="MdStrong"/>
          <w:b/>
          <w:bCs/>
        </w:rPr>
        <w:t xml:space="preserve">Source:</w:t>
      </w:r>
      <w:r>
        <w:t xml:space="preserve"> AGCO Official Documentation
</w:t>
      </w:r>
      <w:r>
        <w:rPr>
          <w:rStyle w:val="MdStrong"/>
          <w:b/>
          <w:bCs/>
        </w:rPr>
        <w:t xml:space="preserve">Last Updated:</w:t>
      </w:r>
      <w:r>
        <w:t xml:space="preserve"> May 29, 2025
</w:t>
      </w:r>
      <w:r>
        <w:rPr>
          <w:rStyle w:val="MdStrong"/>
          <w:b/>
          <w:bCs/>
        </w:rPr>
        <w:t xml:space="preserve">Effective Date:</w:t>
      </w:r>
      <w:r>
        <w:t xml:space="preserve"> April 4, 2022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Main Regulatory Categories</w:t>
      </w:r>
    </w:p>
    <w:p>
      <w:pPr>
        <w:pStyle w:val="Heading3"/>
        <w:pStyle w:val="MdHeading3"/>
      </w:pPr>
      <w:r>
        <w:t xml:space="preserve">1. Entity Level</w:t>
      </w:r>
    </w:p>
    <w:p>
      <w:pPr>
        <w:pStyle w:val="MdListItem"/>
        <w:numPr>
          <w:ilvl w:val="0"/>
          <w:numId w:val="2"/>
        </w:numPr>
      </w:pPr>
      <w:r>
        <w:t xml:space="preserve">Operator registration and licensing requirements</w:t>
      </w:r>
    </w:p>
    <w:p>
      <w:pPr>
        <w:pStyle w:val="MdListItem"/>
        <w:numPr>
          <w:ilvl w:val="0"/>
          <w:numId w:val="2"/>
        </w:numPr>
      </w:pPr>
      <w:r>
        <w:t xml:space="preserve">Financial reporting and audit requirements</w:t>
      </w:r>
    </w:p>
    <w:p>
      <w:pPr>
        <w:pStyle w:val="MdListItem"/>
        <w:numPr>
          <w:ilvl w:val="0"/>
          <w:numId w:val="2"/>
        </w:numPr>
      </w:pPr>
      <w:r>
        <w:t xml:space="preserve">Compliance documentation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Responsible Gambling</w:t>
      </w:r>
    </w:p>
    <w:p>
      <w:pPr>
        <w:pStyle w:val="MdListItem"/>
        <w:numPr>
          <w:ilvl w:val="0"/>
          <w:numId w:val="2"/>
        </w:numPr>
      </w:pPr>
      <w:r>
        <w:t xml:space="preserve">Deposit limits and self-exclusion tools</w:t>
      </w:r>
    </w:p>
    <w:p>
      <w:pPr>
        <w:pStyle w:val="MdListItem"/>
        <w:numPr>
          <w:ilvl w:val="0"/>
          <w:numId w:val="2"/>
        </w:numPr>
      </w:pPr>
      <w:r>
        <w:t xml:space="preserve">Player awareness and information</w:t>
      </w:r>
    </w:p>
    <w:p>
      <w:pPr>
        <w:pStyle w:val="MdListItem"/>
        <w:numPr>
          <w:ilvl w:val="0"/>
          <w:numId w:val="2"/>
        </w:numPr>
      </w:pPr>
      <w:r>
        <w:t xml:space="preserve">Problem gambling support resources</w:t>
      </w:r>
    </w:p>
    <w:p>
      <w:pPr>
        <w:pStyle w:val="MdListItem"/>
        <w:numPr>
          <w:ilvl w:val="0"/>
          <w:numId w:val="2"/>
        </w:numPr>
      </w:pPr>
      <w:r>
        <w:t xml:space="preserve">Age verification (19+)</w:t>
      </w:r>
    </w:p>
    <w:p>
      <w:pPr>
        <w:pStyle w:val="MdListItem"/>
        <w:numPr>
          <w:ilvl w:val="0"/>
          <w:numId w:val="2"/>
        </w:numPr>
      </w:pPr>
      <w:r>
        <w:t xml:space="preserve">Geolocation verification (Ontario residents only)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Prohibiting Access to Designated Groups and Player Account Management</w:t>
      </w:r>
    </w:p>
    <w:p>
      <w:pPr>
        <w:pStyle w:val="MdListItem"/>
        <w:numPr>
          <w:ilvl w:val="0"/>
          <w:numId w:val="2"/>
        </w:numPr>
      </w:pPr>
      <w:r>
        <w:t xml:space="preserve">Exclusion of minors</w:t>
      </w:r>
    </w:p>
    <w:p>
      <w:pPr>
        <w:pStyle w:val="MdListItem"/>
        <w:numPr>
          <w:ilvl w:val="0"/>
          <w:numId w:val="2"/>
        </w:numPr>
      </w:pPr>
      <w:r>
        <w:t xml:space="preserve">Exclusion of problem gamblers</w:t>
      </w:r>
    </w:p>
    <w:p>
      <w:pPr>
        <w:pStyle w:val="MdListItem"/>
        <w:numPr>
          <w:ilvl w:val="0"/>
          <w:numId w:val="2"/>
        </w:numPr>
      </w:pPr>
      <w:r>
        <w:t xml:space="preserve">Account verification and KYC (Know Your Customer)</w:t>
      </w:r>
    </w:p>
    <w:p>
      <w:pPr>
        <w:pStyle w:val="MdListItem"/>
        <w:numPr>
          <w:ilvl w:val="0"/>
          <w:numId w:val="2"/>
        </w:numPr>
      </w:pPr>
      <w:r>
        <w:t xml:space="preserve">Politically Exposed Person (PEP) checks</w:t>
      </w:r>
    </w:p>
    <w:p>
      <w:pPr>
        <w:pStyle w:val="MdListItem"/>
        <w:numPr>
          <w:ilvl w:val="0"/>
          <w:numId w:val="2"/>
        </w:numPr>
      </w:pPr>
      <w:r>
        <w:t xml:space="preserve">Account closure and self-exclusion options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Ensuring Game Integrity and Player Awareness</w:t>
      </w:r>
    </w:p>
    <w:p>
      <w:pPr>
        <w:pStyle w:val="MdListItem"/>
        <w:numPr>
          <w:ilvl w:val="0"/>
          <w:numId w:val="2"/>
        </w:numPr>
      </w:pPr>
      <w:r>
        <w:t xml:space="preserve">Random Number Generator (RNG) certification</w:t>
      </w:r>
    </w:p>
    <w:p>
      <w:pPr>
        <w:pStyle w:val="MdListItem"/>
        <w:numPr>
          <w:ilvl w:val="0"/>
          <w:numId w:val="2"/>
        </w:numPr>
      </w:pPr>
      <w:r>
        <w:t xml:space="preserve">Game testing and certification</w:t>
      </w:r>
    </w:p>
    <w:p>
      <w:pPr>
        <w:pStyle w:val="MdListItem"/>
        <w:numPr>
          <w:ilvl w:val="0"/>
          <w:numId w:val="2"/>
        </w:numPr>
      </w:pPr>
      <w:r>
        <w:t xml:space="preserve">Payout percentage disclosure</w:t>
      </w:r>
    </w:p>
    <w:p>
      <w:pPr>
        <w:pStyle w:val="MdListItem"/>
        <w:numPr>
          <w:ilvl w:val="0"/>
          <w:numId w:val="2"/>
        </w:numPr>
      </w:pPr>
      <w:r>
        <w:t xml:space="preserve">Odds transparency</w:t>
      </w:r>
    </w:p>
    <w:p>
      <w:pPr>
        <w:pStyle w:val="MdListItem"/>
        <w:numPr>
          <w:ilvl w:val="0"/>
          <w:numId w:val="2"/>
        </w:numPr>
      </w:pPr>
      <w:r>
        <w:t xml:space="preserve">Fair play standards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Public Safety and Protection of Assets</w:t>
      </w:r>
    </w:p>
    <w:p>
      <w:pPr>
        <w:pStyle w:val="MdListItem"/>
        <w:numPr>
          <w:ilvl w:val="0"/>
          <w:numId w:val="2"/>
        </w:numPr>
      </w:pPr>
      <w:r>
        <w:t xml:space="preserve">Data security and encryption</w:t>
      </w:r>
    </w:p>
    <w:p>
      <w:pPr>
        <w:pStyle w:val="MdListItem"/>
        <w:numPr>
          <w:ilvl w:val="0"/>
          <w:numId w:val="2"/>
        </w:numPr>
      </w:pPr>
      <w:r>
        <w:t xml:space="preserve">Player fund segregation</w:t>
      </w:r>
    </w:p>
    <w:p>
      <w:pPr>
        <w:pStyle w:val="MdListItem"/>
        <w:numPr>
          <w:ilvl w:val="0"/>
          <w:numId w:val="2"/>
        </w:numPr>
      </w:pPr>
      <w:r>
        <w:t xml:space="preserve">Anti-money laundering (AML) compliance</w:t>
      </w:r>
    </w:p>
    <w:p>
      <w:pPr>
        <w:pStyle w:val="MdListItem"/>
        <w:numPr>
          <w:ilvl w:val="0"/>
          <w:numId w:val="2"/>
        </w:numPr>
      </w:pPr>
      <w:r>
        <w:t xml:space="preserve">Cybersecurity requirements (MFA, etc.)</w:t>
      </w:r>
    </w:p>
    <w:p>
      <w:pPr>
        <w:pStyle w:val="MdListItem"/>
        <w:numPr>
          <w:ilvl w:val="0"/>
          <w:numId w:val="2"/>
        </w:numPr>
      </w:pPr>
      <w:r>
        <w:t xml:space="preserve">Incident reporting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Minimizing Unlawful Activity Related to Gaming</w:t>
      </w:r>
    </w:p>
    <w:p>
      <w:pPr>
        <w:pStyle w:val="MdListItem"/>
        <w:numPr>
          <w:ilvl w:val="0"/>
          <w:numId w:val="2"/>
        </w:numPr>
      </w:pPr>
      <w:r>
        <w:t xml:space="preserve">Fraud prevention</w:t>
      </w:r>
    </w:p>
    <w:p>
      <w:pPr>
        <w:pStyle w:val="MdListItem"/>
        <w:numPr>
          <w:ilvl w:val="0"/>
          <w:numId w:val="2"/>
        </w:numPr>
      </w:pPr>
      <w:r>
        <w:t xml:space="preserve">Collusion detection</w:t>
      </w:r>
    </w:p>
    <w:p>
      <w:pPr>
        <w:pStyle w:val="MdListItem"/>
        <w:numPr>
          <w:ilvl w:val="0"/>
          <w:numId w:val="2"/>
        </w:numPr>
      </w:pPr>
      <w:r>
        <w:t xml:space="preserve">Bonus abuse prevention</w:t>
      </w:r>
    </w:p>
    <w:p>
      <w:pPr>
        <w:pStyle w:val="MdListItem"/>
        <w:numPr>
          <w:ilvl w:val="0"/>
          <w:numId w:val="2"/>
        </w:numPr>
      </w:pPr>
      <w:r>
        <w:t xml:space="preserve">Account security measures</w:t>
      </w:r>
    </w:p>
    <w:p>
      <w:pPr>
        <w:pStyle w:val="MdListItem"/>
        <w:numPr>
          <w:ilvl w:val="0"/>
          <w:numId w:val="2"/>
        </w:numPr>
      </w:pPr>
      <w:r>
        <w:t xml:space="preserve">Suspicious activity reporting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Key Compliance Requirements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Annual Regulatory Fee:</w:t>
      </w:r>
      <w:r>
        <w:t xml:space="preserve"> $100,000 per gaming site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Ongoing Audits:</w:t>
      </w:r>
      <w:r>
        <w:t xml:space="preserve"> Independent system and security assessments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Technical Certification:</w:t>
      </w:r>
      <w:r>
        <w:t xml:space="preserve"> Comprehensive technical certification required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Player Protection:</w:t>
      </w:r>
      <w:r>
        <w:t xml:space="preserve"> Mandatory responsible gambling tools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Transparency:</w:t>
      </w:r>
      <w:r>
        <w:t xml:space="preserve"> Clear terms and conditions, odds disclosure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Fund Segregation:</w:t>
      </w:r>
      <w:r>
        <w:t xml:space="preserve"> Player funds kept separate from operator funds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Reporting:</w:t>
      </w:r>
      <w:r>
        <w:t xml:space="preserve"> Regular compliance and financial reporting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Appendix</w:t>
      </w:r>
    </w:p>
    <w:p>
      <w:pPr>
        <w:pStyle w:val="MdListItem"/>
        <w:numPr>
          <w:ilvl w:val="0"/>
          <w:numId w:val="2"/>
        </w:numPr>
      </w:pPr>
      <w:r>
        <w:t xml:space="preserve">Definitions and glossary</w:t>
      </w:r>
    </w:p>
    <w:p>
      <w:pPr>
        <w:pStyle w:val="MdListItem"/>
        <w:numPr>
          <w:ilvl w:val="0"/>
          <w:numId w:val="2"/>
        </w:numPr>
      </w:pPr>
      <w:r>
        <w:t xml:space="preserve">Technical specifications</w:t>
      </w:r>
    </w:p>
    <w:p>
      <w:pPr>
        <w:pStyle w:val="MdListItem"/>
        <w:numPr>
          <w:ilvl w:val="0"/>
          <w:numId w:val="2"/>
        </w:numPr>
      </w:pPr>
      <w:r>
        <w:t xml:space="preserve">Compliance checklists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2026-04-09T08:24:28.562Z</dcterms:created>
  <dcterms:modified xsi:type="dcterms:W3CDTF">2026-04-09T08:24:28.562Z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