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80"/>
      </w:pPr>
      <w:r>
        <w:rPr>
          <w:rFonts w:ascii="Aptos" w:cs="Aptos" w:eastAsia="Aptos" w:hAnsi="Aptos"/>
          <w:b/>
          <w:bCs/>
          <w:color w:val="176B87"/>
          <w:spacing w:val="24"/>
          <w:sz w:val="18"/>
          <w:szCs w:val="18"/>
        </w:rPr>
        <w:t xml:space="preserve">PROPOSED TRAINING STRUCTURE</w:t>
      </w:r>
    </w:p>
    <w:p>
      <w:pPr>
        <w:spacing w:after="90" w:line="290"/>
      </w:pPr>
      <w:r>
        <w:rPr>
          <w:rFonts w:ascii="Aptos" w:cs="Aptos" w:eastAsia="Aptos" w:hAnsi="Aptos"/>
          <w:b/>
          <w:bCs/>
          <w:color w:val="17324D"/>
          <w:sz w:val="38"/>
          <w:szCs w:val="38"/>
        </w:rPr>
        <w:t xml:space="preserve">Personalized Web Development Training</w:t>
      </w:r>
    </w:p>
    <w:p>
      <w:pPr>
        <w:spacing w:after="220"/>
      </w:pPr>
      <w:r>
        <w:rPr>
          <w:rFonts w:ascii="Aptos" w:cs="Aptos" w:eastAsia="Aptos" w:hAnsi="Aptos"/>
          <w:color w:val="176B87"/>
          <w:sz w:val="23"/>
          <w:szCs w:val="23"/>
        </w:rPr>
        <w:t xml:space="preserve">A blended, one-to-one learning program for refreshing web development skills and applying them to a school-related use case</w:t>
      </w:r>
    </w:p>
    <w:tbl>
      <w:tblPr>
        <w:tblW w:type="dxa" w:w="10106"/>
        <w:tblBorders>
          <w:top w:val="single" w:color="D6E1E7" w:sz="3"/>
          <w:left w:val="single" w:color="D6E1E7" w:sz="3"/>
          <w:bottom w:val="single" w:color="D6E1E7" w:sz="3"/>
          <w:right w:val="single" w:color="D6E1E7" w:sz="3"/>
          <w:insideH w:val="single" w:color="D6E1E7" w:sz="3"/>
          <w:insideV w:val="single" w:color="D6E1E7" w:sz="3"/>
        </w:tblBorders>
      </w:tblPr>
      <w:tblGrid>
        <w:gridCol w:w="5053"/>
        <w:gridCol w:w="5053"/>
      </w:tblGrid>
      <w:tr>
        <w:trPr>
          <w:cantSplit/>
        </w:trPr>
        <w:tc>
          <w:tcPr>
            <w:tcW w:type="dxa" w:w="5053"/>
            <w:shd w:fill="EAF3F6"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Prepared for discussion</w:t>
            </w:r>
          </w:p>
        </w:tc>
        <w:tc>
          <w:tcPr>
            <w:tcW w:type="dxa" w:w="5053"/>
            <w:shd w:fill="EAF3F6"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CIIT | Draft structure, subject to learner profiling</w:t>
            </w:r>
          </w:p>
        </w:tc>
      </w:tr>
      <w:tr>
        <w:trPr>
          <w:cantSplit/>
        </w:trPr>
        <w:tc>
          <w:tcPr>
            <w:tcW w:type="dxa" w:w="5053"/>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Prepared</w:t>
            </w:r>
          </w:p>
        </w:tc>
        <w:tc>
          <w:tcPr>
            <w:tcW w:type="dxa" w:w="5053"/>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October 7, 2026</w:t>
            </w:r>
          </w:p>
        </w:tc>
      </w:tr>
    </w:tbl>
    <w:p>
      <w:pPr>
        <w:spacing w:after="120" w:line="276"/>
      </w:pPr>
      <w:r>
        <w:rPr>
          <w:rFonts w:ascii="Aptos" w:cs="Aptos" w:eastAsia="Aptos" w:hAnsi="Aptos"/>
          <w:color w:val="253746"/>
          <w:sz w:val="21"/>
          <w:szCs w:val="21"/>
        </w:rPr>
        <w:t xml:space="preserve"/>
      </w:r>
    </w:p>
    <w:p>
      <w:pPr>
        <w:pStyle w:val="Heading1"/>
        <w:keepNext/>
        <w:spacing w:after="100" w:before="280"/>
      </w:pPr>
      <w:r>
        <w:rPr>
          <w:rFonts w:ascii="Aptos" w:cs="Aptos" w:eastAsia="Aptos" w:hAnsi="Aptos"/>
          <w:b/>
          <w:bCs/>
          <w:color w:val="17324D"/>
          <w:sz w:val="29"/>
          <w:szCs w:val="29"/>
        </w:rPr>
        <w:t xml:space="preserve">Program overview</w:t>
      </w:r>
    </w:p>
    <w:p>
      <w:pPr>
        <w:spacing w:after="120" w:line="276"/>
      </w:pPr>
      <w:r>
        <w:rPr>
          <w:rFonts w:ascii="Aptos" w:cs="Aptos" w:eastAsia="Aptos" w:hAnsi="Aptos"/>
          <w:color w:val="253746"/>
          <w:sz w:val="21"/>
          <w:szCs w:val="21"/>
        </w:rPr>
        <w:t xml:space="preserve">This proposal combines in-person foundation sessions with online, guided project work. The first stage refreshes core web development concepts and establishes the learner’s working environment. The second stage applies those concepts to a small, agreed school-related application feature, using AI-assisted development as a tool the learner learns to question, test, and guide.</w:t>
      </w:r>
    </w:p>
    <w:p>
      <w:pPr>
        <w:shd w:fill="EAF3F6" w:val="clear"/>
        <w:spacing w:after="160" w:before="80" w:line="276"/>
        <w:ind w:left="160" w:right="160"/>
      </w:pPr>
      <w:r>
        <w:rPr>
          <w:rFonts w:ascii="Aptos" w:cs="Aptos" w:eastAsia="Aptos" w:hAnsi="Aptos"/>
          <w:b/>
          <w:bCs/>
          <w:color w:val="17324D"/>
          <w:sz w:val="21"/>
          <w:szCs w:val="21"/>
        </w:rPr>
        <w:t xml:space="preserve">Planning principle: </w:t>
      </w:r>
      <w:r>
        <w:rPr>
          <w:rFonts w:ascii="Aptos" w:cs="Aptos" w:eastAsia="Aptos" w:hAnsi="Aptos"/>
          <w:color w:val="253746"/>
          <w:sz w:val="21"/>
          <w:szCs w:val="21"/>
        </w:rPr>
        <w:t xml:space="preserve">personalize the content after a short learner and project profile; do not select a technology stack or promise a production system before the school’s needs and constraints are understood.</w:t>
      </w:r>
    </w:p>
    <w:p>
      <w:pPr>
        <w:pStyle w:val="Heading1"/>
        <w:keepNext/>
        <w:spacing w:after="100" w:before="280"/>
      </w:pPr>
      <w:r>
        <w:rPr>
          <w:rFonts w:ascii="Aptos" w:cs="Aptos" w:eastAsia="Aptos" w:hAnsi="Aptos"/>
          <w:b/>
          <w:bCs/>
          <w:color w:val="17324D"/>
          <w:sz w:val="29"/>
          <w:szCs w:val="29"/>
        </w:rPr>
        <w:t xml:space="preserve">Proposed format and time</w:t>
      </w:r>
    </w:p>
    <w:tbl>
      <w:tblPr>
        <w:tblW w:type="dxa" w:w="10106"/>
        <w:tblBorders>
          <w:top w:val="single" w:color="D6E1E7" w:sz="3"/>
          <w:left w:val="single" w:color="D6E1E7" w:sz="3"/>
          <w:bottom w:val="single" w:color="D6E1E7" w:sz="3"/>
          <w:right w:val="single" w:color="D6E1E7" w:sz="3"/>
          <w:insideH w:val="single" w:color="D6E1E7" w:sz="3"/>
          <w:insideV w:val="single" w:color="D6E1E7" w:sz="3"/>
        </w:tblBorders>
      </w:tblPr>
      <w:tblGrid>
        <w:gridCol w:w="2350"/>
        <w:gridCol w:w="3900"/>
        <w:gridCol w:w="3856"/>
      </w:tblGrid>
      <w:tr>
        <w:trPr>
          <w:cantSplit/>
        </w:trPr>
        <w:tc>
          <w:tcPr>
            <w:tcW w:type="dxa" w:w="2350"/>
            <w:shd w:fill="17324D" w:val="clear"/>
            <w:tcMar>
              <w:top w:type="dxa" w:w="90"/>
              <w:left w:type="dxa" w:w="120"/>
              <w:bottom w:type="dxa" w:w="90"/>
              <w:right w:type="dxa" w:w="120"/>
            </w:tcMar>
            <w:vAlign w:val="center"/>
          </w:tcPr>
          <w:p>
            <w:pPr>
              <w:spacing w:after="0"/>
            </w:pPr>
            <w:r>
              <w:rPr>
                <w:rFonts w:ascii="Aptos" w:cs="Aptos" w:eastAsia="Aptos" w:hAnsi="Aptos"/>
                <w:b/>
                <w:bCs/>
                <w:color w:val="FFFFFF"/>
                <w:sz w:val="19"/>
                <w:szCs w:val="19"/>
              </w:rPr>
              <w:t xml:space="preserve">Stage</w:t>
            </w:r>
          </w:p>
        </w:tc>
        <w:tc>
          <w:tcPr>
            <w:tcW w:type="dxa" w:w="3900"/>
            <w:shd w:fill="17324D" w:val="clear"/>
            <w:tcMar>
              <w:top w:type="dxa" w:w="90"/>
              <w:left w:type="dxa" w:w="120"/>
              <w:bottom w:type="dxa" w:w="90"/>
              <w:right w:type="dxa" w:w="120"/>
            </w:tcMar>
            <w:vAlign w:val="center"/>
          </w:tcPr>
          <w:p>
            <w:pPr>
              <w:spacing w:after="0"/>
            </w:pPr>
            <w:r>
              <w:rPr>
                <w:rFonts w:ascii="Aptos" w:cs="Aptos" w:eastAsia="Aptos" w:hAnsi="Aptos"/>
                <w:b/>
                <w:bCs/>
                <w:color w:val="FFFFFF"/>
                <w:sz w:val="19"/>
                <w:szCs w:val="19"/>
              </w:rPr>
              <w:t xml:space="preserve">Format and proposed duration</w:t>
            </w:r>
          </w:p>
        </w:tc>
        <w:tc>
          <w:tcPr>
            <w:tcW w:type="dxa" w:w="3856"/>
            <w:shd w:fill="17324D" w:val="clear"/>
            <w:tcMar>
              <w:top w:type="dxa" w:w="90"/>
              <w:left w:type="dxa" w:w="120"/>
              <w:bottom w:type="dxa" w:w="90"/>
              <w:right w:type="dxa" w:w="120"/>
            </w:tcMar>
            <w:vAlign w:val="center"/>
          </w:tcPr>
          <w:p>
            <w:pPr>
              <w:spacing w:after="0"/>
            </w:pPr>
            <w:r>
              <w:rPr>
                <w:rFonts w:ascii="Aptos" w:cs="Aptos" w:eastAsia="Aptos" w:hAnsi="Aptos"/>
                <w:b/>
                <w:bCs/>
                <w:color w:val="FFFFFF"/>
                <w:sz w:val="19"/>
                <w:szCs w:val="19"/>
              </w:rPr>
              <w:t xml:space="preserve">Purpose</w:t>
            </w:r>
          </w:p>
        </w:tc>
      </w:tr>
      <w:tr>
        <w:trPr>
          <w:cantSplit/>
        </w:trPr>
        <w:tc>
          <w:tcPr>
            <w:tcW w:type="dxa" w:w="235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Learner and project profile</w:t>
            </w:r>
          </w:p>
        </w:tc>
        <w:tc>
          <w:tcPr>
            <w:tcW w:type="dxa" w:w="390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On-site meeting, 1–1.5 hours; separate from core teaching hours</w:t>
            </w:r>
          </w:p>
        </w:tc>
        <w:tc>
          <w:tcPr>
            <w:tcW w:type="dxa" w:w="3856"/>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Confirm experience, goals, school context, constraints, and an appropriate project candidate.</w:t>
            </w:r>
          </w:p>
        </w:tc>
      </w:tr>
      <w:tr>
        <w:trPr>
          <w:cantSplit/>
        </w:trPr>
        <w:tc>
          <w:tcPr>
            <w:tcW w:type="dxa" w:w="235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Web development refresher</w:t>
            </w:r>
          </w:p>
        </w:tc>
        <w:tc>
          <w:tcPr>
            <w:tcW w:type="dxa" w:w="390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4 on-site sessions × 4 hours = 16 hours</w:t>
            </w:r>
          </w:p>
        </w:tc>
        <w:tc>
          <w:tcPr>
            <w:tcW w:type="dxa" w:w="3856"/>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Refresh foundations, explore application concepts, and prepare the learner and project for guided work.</w:t>
            </w:r>
          </w:p>
        </w:tc>
      </w:tr>
      <w:tr>
        <w:trPr>
          <w:cantSplit/>
        </w:trPr>
        <w:tc>
          <w:tcPr>
            <w:tcW w:type="dxa" w:w="235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Guided application build</w:t>
            </w:r>
          </w:p>
        </w:tc>
        <w:tc>
          <w:tcPr>
            <w:tcW w:type="dxa" w:w="390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8 online sessions × 1.5 hours = 12 hours</w:t>
            </w:r>
          </w:p>
        </w:tc>
        <w:tc>
          <w:tcPr>
            <w:tcW w:type="dxa" w:w="3856"/>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Build and review one small, non-production demonstration of an agreed workflow.</w:t>
            </w:r>
          </w:p>
        </w:tc>
      </w:tr>
      <w:tr>
        <w:trPr>
          <w:cantSplit/>
        </w:trPr>
        <w:tc>
          <w:tcPr>
            <w:tcW w:type="dxa" w:w="235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Review and next-step decision</w:t>
            </w:r>
          </w:p>
        </w:tc>
        <w:tc>
          <w:tcPr>
            <w:tcW w:type="dxa" w:w="390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30–60 minutes
Separate checkpoint</w:t>
            </w:r>
          </w:p>
        </w:tc>
        <w:tc>
          <w:tcPr>
            <w:tcW w:type="dxa" w:w="3856"/>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Review learning evidence, demo the agreed feature, and decide whether further work is needed.</w:t>
            </w:r>
          </w:p>
        </w:tc>
      </w:tr>
    </w:tbl>
    <w:p>
      <w:pPr>
        <w:spacing w:after="140" w:before="100"/>
      </w:pPr>
      <w:r>
        <w:rPr>
          <w:rFonts w:ascii="Aptos" w:cs="Aptos" w:eastAsia="Aptos" w:hAnsi="Aptos"/>
          <w:color w:val="253746"/>
          <w:sz w:val="21"/>
          <w:szCs w:val="21"/>
        </w:rPr>
        <w:t xml:space="preserve">Core teaching time: 28 hours (16 on-site + 12 online). A fifth 4-hour on-site session may be added by agreement, bringing core teaching time to 32 hours. Profile, review, and independent practice time are not included in these totals.</w:t>
      </w:r>
    </w:p>
    <w:p>
      <w:pPr>
        <w:pStyle w:val="Heading1"/>
        <w:keepNext/>
        <w:spacing w:after="100" w:before="280"/>
      </w:pPr>
      <w:r>
        <w:rPr>
          <w:rFonts w:ascii="Aptos" w:cs="Aptos" w:eastAsia="Aptos" w:hAnsi="Aptos"/>
          <w:b/>
          <w:bCs/>
          <w:color w:val="17324D"/>
          <w:sz w:val="29"/>
          <w:szCs w:val="29"/>
        </w:rPr>
        <w:t xml:space="preserve">Recommended cadence</w:t>
      </w:r>
    </w:p>
    <w:p>
      <w:pPr>
        <w:pStyle w:val="ListParagraph"/>
        <w:numPr>
          <w:ilvl w:val="0"/>
          <w:numId w:val="2"/>
        </w:numPr>
        <w:spacing w:after="70" w:line="264"/>
      </w:pPr>
      <w:r>
        <w:rPr>
          <w:rFonts w:ascii="Aptos" w:cs="Aptos" w:eastAsia="Aptos" w:hAnsi="Aptos"/>
          <w:color w:val="253746"/>
          <w:sz w:val="21"/>
          <w:szCs w:val="21"/>
        </w:rPr>
        <w:t xml:space="preserve">Schedule the online stage at two 1.5-hour sessions per week, with an optional third session when the learner and project benefit from it. This gives the learner time to practise between meetings.</w:t>
      </w:r>
    </w:p>
    <w:p>
      <w:pPr>
        <w:pStyle w:val="ListParagraph"/>
        <w:numPr>
          <w:ilvl w:val="0"/>
          <w:numId w:val="2"/>
        </w:numPr>
        <w:spacing w:after="70" w:line="264"/>
      </w:pPr>
      <w:r>
        <w:rPr>
          <w:rFonts w:ascii="Aptos" w:cs="Aptos" w:eastAsia="Aptos" w:hAnsi="Aptos"/>
          <w:color w:val="253746"/>
          <w:sz w:val="21"/>
          <w:szCs w:val="21"/>
        </w:rPr>
        <w:t xml:space="preserve">The eight online sessions would span about four weeks at two sessions per week. The complete calendar depends on when the on-site sessions are scheduled.</w:t>
      </w:r>
    </w:p>
    <w:p>
      <w:pPr>
        <w:pStyle w:val="ListParagraph"/>
        <w:numPr>
          <w:ilvl w:val="0"/>
          <w:numId w:val="2"/>
        </w:numPr>
        <w:spacing w:after="70" w:line="264"/>
      </w:pPr>
      <w:r>
        <w:rPr>
          <w:rFonts w:ascii="Aptos" w:cs="Aptos" w:eastAsia="Aptos" w:hAnsi="Aptos"/>
          <w:color w:val="253746"/>
          <w:sz w:val="21"/>
          <w:szCs w:val="21"/>
        </w:rPr>
        <w:t xml:space="preserve">Agree on short, achievable between-session practice tasks. Practice time is additional to scheduled teaching hours.</w:t>
      </w:r>
    </w:p>
    <w:p>
      <w:pPr>
        <w:pStyle w:val="Heading1"/>
        <w:keepNext/>
        <w:spacing w:after="100" w:before="280"/>
      </w:pPr>
      <w:r>
        <w:rPr>
          <w:rFonts w:ascii="Aptos" w:cs="Aptos" w:eastAsia="Aptos" w:hAnsi="Aptos"/>
          <w:b/>
          <w:bCs/>
          <w:color w:val="17324D"/>
          <w:sz w:val="29"/>
          <w:szCs w:val="29"/>
        </w:rPr>
        <w:t xml:space="preserve">Stage 1 · On-site foundations</w:t>
      </w:r>
    </w:p>
    <w:p>
      <w:pPr>
        <w:spacing w:after="120" w:line="276"/>
      </w:pPr>
      <w:r>
        <w:rPr>
          <w:rFonts w:ascii="Aptos" w:cs="Aptos" w:eastAsia="Aptos" w:hAnsi="Aptos"/>
          <w:color w:val="253746"/>
          <w:sz w:val="21"/>
          <w:szCs w:val="21"/>
        </w:rPr>
        <w:t xml:space="preserve">Four proposed 4-hour sessions. The emphasis can shift after the learner profile; this is a planning sequence, not a fixed syllabus.</w:t>
      </w:r>
    </w:p>
    <w:tbl>
      <w:tblPr>
        <w:tblW w:type="dxa" w:w="10106"/>
        <w:tblBorders>
          <w:top w:val="single" w:color="D6E1E7" w:sz="3"/>
          <w:left w:val="single" w:color="D6E1E7" w:sz="3"/>
          <w:bottom w:val="single" w:color="D6E1E7" w:sz="3"/>
          <w:right w:val="single" w:color="D6E1E7" w:sz="3"/>
          <w:insideH w:val="single" w:color="D6E1E7" w:sz="3"/>
          <w:insideV w:val="single" w:color="D6E1E7" w:sz="3"/>
        </w:tblBorders>
      </w:tblPr>
      <w:tblGrid>
        <w:gridCol w:w="1500"/>
        <w:gridCol w:w="5200"/>
        <w:gridCol w:w="3406"/>
      </w:tblGrid>
      <w:tr>
        <w:trPr>
          <w:cantSplit/>
        </w:trPr>
        <w:tc>
          <w:tcPr>
            <w:tcW w:type="dxa" w:w="1500"/>
            <w:shd w:fill="17324D" w:val="clear"/>
            <w:tcMar>
              <w:top w:type="dxa" w:w="90"/>
              <w:left w:type="dxa" w:w="120"/>
              <w:bottom w:type="dxa" w:w="90"/>
              <w:right w:type="dxa" w:w="120"/>
            </w:tcMar>
            <w:vAlign w:val="center"/>
          </w:tcPr>
          <w:p>
            <w:pPr>
              <w:spacing w:after="0"/>
            </w:pPr>
            <w:r>
              <w:rPr>
                <w:rFonts w:ascii="Aptos" w:cs="Aptos" w:eastAsia="Aptos" w:hAnsi="Aptos"/>
                <w:b/>
                <w:bCs/>
                <w:color w:val="FFFFFF"/>
                <w:sz w:val="19"/>
                <w:szCs w:val="19"/>
              </w:rPr>
              <w:t xml:space="preserve">Session</w:t>
            </w:r>
          </w:p>
        </w:tc>
        <w:tc>
          <w:tcPr>
            <w:tcW w:type="dxa" w:w="5200"/>
            <w:shd w:fill="17324D" w:val="clear"/>
            <w:tcMar>
              <w:top w:type="dxa" w:w="90"/>
              <w:left w:type="dxa" w:w="120"/>
              <w:bottom w:type="dxa" w:w="90"/>
              <w:right w:type="dxa" w:w="120"/>
            </w:tcMar>
            <w:vAlign w:val="center"/>
          </w:tcPr>
          <w:p>
            <w:pPr>
              <w:spacing w:after="0"/>
            </w:pPr>
            <w:r>
              <w:rPr>
                <w:rFonts w:ascii="Aptos" w:cs="Aptos" w:eastAsia="Aptos" w:hAnsi="Aptos"/>
                <w:b/>
                <w:bCs/>
                <w:color w:val="FFFFFF"/>
                <w:sz w:val="19"/>
                <w:szCs w:val="19"/>
              </w:rPr>
              <w:t xml:space="preserve">Focus and sample content</w:t>
            </w:r>
          </w:p>
        </w:tc>
        <w:tc>
          <w:tcPr>
            <w:tcW w:type="dxa" w:w="3406"/>
            <w:shd w:fill="17324D" w:val="clear"/>
            <w:tcMar>
              <w:top w:type="dxa" w:w="90"/>
              <w:left w:type="dxa" w:w="120"/>
              <w:bottom w:type="dxa" w:w="90"/>
              <w:right w:type="dxa" w:w="120"/>
            </w:tcMar>
            <w:vAlign w:val="center"/>
          </w:tcPr>
          <w:p>
            <w:pPr>
              <w:spacing w:after="0"/>
            </w:pPr>
            <w:r>
              <w:rPr>
                <w:rFonts w:ascii="Aptos" w:cs="Aptos" w:eastAsia="Aptos" w:hAnsi="Aptos"/>
                <w:b/>
                <w:bCs/>
                <w:color w:val="FFFFFF"/>
                <w:sz w:val="19"/>
                <w:szCs w:val="19"/>
              </w:rPr>
              <w:t xml:space="preserve">Evidence of progress</w:t>
            </w:r>
          </w:p>
        </w:tc>
      </w:tr>
      <w:tr>
        <w:trPr>
          <w:cantSplit/>
        </w:trPr>
        <w:tc>
          <w:tcPr>
            <w:tcW w:type="dxa" w:w="1500"/>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1 - Refresh and setup</w:t>
            </w:r>
          </w:p>
          <w:p>
            <w:pPr>
              <w:spacing w:after="0" w:line="248"/>
            </w:pPr>
            <w:r>
              <w:rPr>
                <w:rFonts w:ascii="Aptos" w:cs="Aptos" w:eastAsia="Aptos" w:hAnsi="Aptos"/>
                <w:color w:val="253746"/>
                <w:sz w:val="18"/>
                <w:szCs w:val="18"/>
              </w:rPr>
              <w:t xml:space="preserve"/>
            </w:r>
          </w:p>
        </w:tc>
        <w:tc>
          <w:tcPr>
            <w:tcW w:type="dxa" w:w="5200"/>
            <w:shd w:fill="F4F7F9" w:val="clear"/>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Refresh web application concepts; development tools; terminal and editor; Git basics; run a small local project.</w:t>
            </w:r>
          </w:p>
          <w:p>
            <w:pPr>
              <w:spacing w:after="0" w:line="248"/>
            </w:pPr>
            <w:r>
              <w:rPr>
                <w:rFonts w:ascii="Aptos" w:cs="Aptos" w:eastAsia="Aptos" w:hAnsi="Aptos"/>
                <w:color w:val="253746"/>
                <w:sz w:val="18"/>
                <w:szCs w:val="18"/>
              </w:rPr>
              <w:t xml:space="preserve"/>
            </w:r>
          </w:p>
        </w:tc>
        <w:tc>
          <w:tcPr>
            <w:tcW w:type="dxa" w:w="3406"/>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Working local project and Git repository.</w:t>
            </w:r>
          </w:p>
          <w:p>
            <w:pPr>
              <w:spacing w:after="0" w:line="248"/>
            </w:pPr>
            <w:r>
              <w:rPr>
                <w:rFonts w:ascii="Aptos" w:cs="Aptos" w:eastAsia="Aptos" w:hAnsi="Aptos"/>
                <w:color w:val="253746"/>
                <w:sz w:val="18"/>
                <w:szCs w:val="18"/>
              </w:rPr>
              <w:t xml:space="preserve"/>
            </w:r>
          </w:p>
        </w:tc>
      </w:tr>
      <w:tr>
        <w:trPr>
          <w:cantSplit/>
        </w:trPr>
        <w:tc>
          <w:tcPr>
            <w:tcW w:type="dxa" w:w="1500"/>
            <w:shd w:fill="F4F7F9" w:val="clear"/>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2 - Browser and interface</w:t>
            </w:r>
          </w:p>
          <w:p>
            <w:pPr>
              <w:spacing w:after="0" w:line="248"/>
            </w:pPr>
            <w:r>
              <w:rPr>
                <w:rFonts w:ascii="Aptos" w:cs="Aptos" w:eastAsia="Aptos" w:hAnsi="Aptos"/>
                <w:color w:val="253746"/>
                <w:sz w:val="18"/>
                <w:szCs w:val="18"/>
              </w:rPr>
              <w:t xml:space="preserve"/>
            </w:r>
          </w:p>
        </w:tc>
        <w:tc>
          <w:tcPr>
            <w:tcW w:type="dxa" w:w="5200"/>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Refresh relevant HTML, CSS, JavaScript, forms, page structure, responsive layout, and browser behaviour.</w:t>
            </w:r>
          </w:p>
          <w:p>
            <w:pPr>
              <w:spacing w:after="0" w:line="248"/>
            </w:pPr>
            <w:r>
              <w:rPr>
                <w:rFonts w:ascii="Aptos" w:cs="Aptos" w:eastAsia="Aptos" w:hAnsi="Aptos"/>
                <w:color w:val="253746"/>
                <w:sz w:val="18"/>
                <w:szCs w:val="18"/>
              </w:rPr>
              <w:t xml:space="preserve"/>
            </w:r>
          </w:p>
        </w:tc>
        <w:tc>
          <w:tcPr>
            <w:tcW w:type="dxa" w:w="3406"/>
            <w:shd w:fill="F4F7F9" w:val="clear"/>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A simple interface the learner can modify and explain.</w:t>
            </w:r>
          </w:p>
          <w:p>
            <w:pPr>
              <w:spacing w:after="0" w:line="248"/>
            </w:pPr>
            <w:r>
              <w:rPr>
                <w:rFonts w:ascii="Aptos" w:cs="Aptos" w:eastAsia="Aptos" w:hAnsi="Aptos"/>
                <w:color w:val="253746"/>
                <w:sz w:val="18"/>
                <w:szCs w:val="18"/>
              </w:rPr>
              <w:t xml:space="preserve"/>
            </w:r>
          </w:p>
        </w:tc>
      </w:tr>
      <w:tr>
        <w:trPr>
          <w:cantSplit/>
        </w:trPr>
        <w:tc>
          <w:tcPr>
            <w:tcW w:type="dxa" w:w="1500"/>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3 - Application and data concepts</w:t>
            </w:r>
          </w:p>
          <w:p>
            <w:pPr>
              <w:spacing w:after="0" w:line="248"/>
            </w:pPr>
            <w:r>
              <w:rPr>
                <w:rFonts w:ascii="Aptos" w:cs="Aptos" w:eastAsia="Aptos" w:hAnsi="Aptos"/>
                <w:color w:val="253746"/>
                <w:sz w:val="18"/>
                <w:szCs w:val="18"/>
              </w:rPr>
              <w:t xml:space="preserve"/>
            </w:r>
          </w:p>
        </w:tc>
        <w:tc>
          <w:tcPr>
            <w:tcW w:type="dxa" w:w="5200"/>
            <w:shd w:fill="F4F7F9" w:val="clear"/>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Client/server interaction; HTTP and APIs; JSON; data modelling; validation; authentication and roles as concepts.</w:t>
            </w:r>
          </w:p>
          <w:p>
            <w:pPr>
              <w:spacing w:after="0" w:line="248"/>
            </w:pPr>
            <w:r>
              <w:rPr>
                <w:rFonts w:ascii="Aptos" w:cs="Aptos" w:eastAsia="Aptos" w:hAnsi="Aptos"/>
                <w:color w:val="253746"/>
                <w:sz w:val="18"/>
                <w:szCs w:val="18"/>
              </w:rPr>
              <w:t xml:space="preserve"/>
            </w:r>
          </w:p>
        </w:tc>
        <w:tc>
          <w:tcPr>
            <w:tcW w:type="dxa" w:w="3406"/>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A simple system or data-flow sketch.</w:t>
            </w:r>
          </w:p>
          <w:p>
            <w:pPr>
              <w:spacing w:after="0" w:line="248"/>
            </w:pPr>
            <w:r>
              <w:rPr>
                <w:rFonts w:ascii="Aptos" w:cs="Aptos" w:eastAsia="Aptos" w:hAnsi="Aptos"/>
                <w:color w:val="253746"/>
                <w:sz w:val="18"/>
                <w:szCs w:val="18"/>
              </w:rPr>
              <w:t xml:space="preserve"/>
            </w:r>
          </w:p>
        </w:tc>
      </w:tr>
      <w:tr>
        <w:trPr>
          <w:cantSplit/>
        </w:trPr>
        <w:tc>
          <w:tcPr>
            <w:tcW w:type="dxa" w:w="1500"/>
            <w:shd w:fill="F4F7F9" w:val="clear"/>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4 - Quality, AI workflow, and project gate</w:t>
            </w:r>
          </w:p>
          <w:p>
            <w:pPr>
              <w:spacing w:after="0" w:line="248"/>
            </w:pPr>
            <w:r>
              <w:rPr>
                <w:rFonts w:ascii="Aptos" w:cs="Aptos" w:eastAsia="Aptos" w:hAnsi="Aptos"/>
                <w:color w:val="253746"/>
                <w:sz w:val="18"/>
                <w:szCs w:val="18"/>
              </w:rPr>
              <w:t xml:space="preserve"/>
            </w:r>
          </w:p>
        </w:tc>
        <w:tc>
          <w:tcPr>
            <w:tcW w:type="dxa" w:w="5200"/>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Debugging and testing; code review; Git workflow; AI-assisted coding practices; project slice definition; choose stack and environment after discovery.</w:t>
            </w:r>
          </w:p>
          <w:p>
            <w:pPr>
              <w:spacing w:after="0" w:line="248"/>
            </w:pPr>
            <w:r>
              <w:rPr>
                <w:rFonts w:ascii="Aptos" w:cs="Aptos" w:eastAsia="Aptos" w:hAnsi="Aptos"/>
                <w:color w:val="253746"/>
                <w:sz w:val="18"/>
                <w:szCs w:val="18"/>
              </w:rPr>
              <w:t xml:space="preserve"/>
            </w:r>
          </w:p>
        </w:tc>
        <w:tc>
          <w:tcPr>
            <w:tcW w:type="dxa" w:w="3406"/>
            <w:shd w:fill="F4F7F9" w:val="clear"/>
            <w:tcMar>
              <w:top w:type="dxa" w:w="90"/>
              <w:left w:type="dxa" w:w="120"/>
              <w:bottom w:type="dxa" w:w="90"/>
              <w:right w:type="dxa" w:w="120"/>
            </w:tcMar>
            <w:vAlign w:val="center"/>
          </w:tcPr>
          <w:p>
            <w:pPr>
              <w:spacing w:after="50"/>
            </w:pPr>
            <w:r>
              <w:rPr>
                <w:rFonts w:ascii="Aptos" w:cs="Aptos" w:eastAsia="Aptos" w:hAnsi="Aptos"/>
                <w:b/>
                <w:bCs/>
                <w:color w:val="17324D"/>
                <w:sz w:val="19"/>
                <w:szCs w:val="19"/>
              </w:rPr>
              <w:t xml:space="preserve">A bounded project brief, acceptance criteria, and readiness decision.</w:t>
            </w:r>
          </w:p>
          <w:p>
            <w:pPr>
              <w:spacing w:after="0" w:line="248"/>
            </w:pPr>
            <w:r>
              <w:rPr>
                <w:rFonts w:ascii="Aptos" w:cs="Aptos" w:eastAsia="Aptos" w:hAnsi="Aptos"/>
                <w:color w:val="253746"/>
                <w:sz w:val="18"/>
                <w:szCs w:val="18"/>
              </w:rPr>
              <w:t xml:space="preserve"/>
            </w:r>
          </w:p>
        </w:tc>
      </w:tr>
    </w:tbl>
    <w:p>
      <w:pPr>
        <w:pStyle w:val="Heading1"/>
        <w:keepNext/>
        <w:spacing w:after="100" w:before="280"/>
      </w:pPr>
      <w:r>
        <w:rPr>
          <w:rFonts w:ascii="Aptos" w:cs="Aptos" w:eastAsia="Aptos" w:hAnsi="Aptos"/>
          <w:b/>
          <w:bCs/>
          <w:color w:val="17324D"/>
          <w:sz w:val="29"/>
          <w:szCs w:val="29"/>
        </w:rPr>
        <w:t xml:space="preserve">Stage 2 · Online guided application build</w:t>
      </w:r>
    </w:p>
    <w:p>
      <w:pPr>
        <w:spacing w:after="120" w:line="276"/>
      </w:pPr>
      <w:r>
        <w:rPr>
          <w:rFonts w:ascii="Aptos" w:cs="Aptos" w:eastAsia="Aptos" w:hAnsi="Aptos"/>
          <w:color w:val="253746"/>
          <w:sz w:val="21"/>
          <w:szCs w:val="21"/>
        </w:rPr>
        <w:t xml:space="preserve">Eight proposed 1.5-hour sessions. Each session should include a short concept or demonstration, guided work, and a check of the learner’s understanding. Adjust the exact technologies and tasks after profiling.</w:t>
      </w:r>
    </w:p>
    <w:tbl>
      <w:tblPr>
        <w:tblW w:type="dxa" w:w="10106"/>
        <w:tblBorders>
          <w:top w:val="single" w:color="D6E1E7" w:sz="3"/>
          <w:left w:val="single" w:color="D6E1E7" w:sz="3"/>
          <w:bottom w:val="single" w:color="D6E1E7" w:sz="3"/>
          <w:right w:val="single" w:color="D6E1E7" w:sz="3"/>
          <w:insideH w:val="single" w:color="D6E1E7" w:sz="3"/>
          <w:insideV w:val="single" w:color="D6E1E7" w:sz="3"/>
        </w:tblBorders>
      </w:tblPr>
      <w:tblGrid>
        <w:gridCol w:w="1500"/>
        <w:gridCol w:w="2850"/>
        <w:gridCol w:w="5756"/>
      </w:tblGrid>
      <w:tr>
        <w:trPr>
          <w:cantSplit/>
        </w:trPr>
        <w:tc>
          <w:tcPr>
            <w:tcW w:type="dxa" w:w="1500"/>
            <w:shd w:fill="17324D" w:val="clear"/>
            <w:tcMar>
              <w:top w:type="dxa" w:w="90"/>
              <w:left w:type="dxa" w:w="120"/>
              <w:bottom w:type="dxa" w:w="90"/>
              <w:right w:type="dxa" w:w="120"/>
            </w:tcMar>
            <w:vAlign w:val="center"/>
          </w:tcPr>
          <w:p>
            <w:pPr>
              <w:spacing w:after="0"/>
            </w:pPr>
            <w:r>
              <w:rPr>
                <w:rFonts w:ascii="Aptos" w:cs="Aptos" w:eastAsia="Aptos" w:hAnsi="Aptos"/>
                <w:b/>
                <w:bCs/>
                <w:color w:val="FFFFFF"/>
                <w:sz w:val="19"/>
                <w:szCs w:val="19"/>
              </w:rPr>
              <w:t xml:space="preserve">Session</w:t>
            </w:r>
          </w:p>
        </w:tc>
        <w:tc>
          <w:tcPr>
            <w:tcW w:type="dxa" w:w="2850"/>
            <w:shd w:fill="17324D" w:val="clear"/>
            <w:tcMar>
              <w:top w:type="dxa" w:w="90"/>
              <w:left w:type="dxa" w:w="120"/>
              <w:bottom w:type="dxa" w:w="90"/>
              <w:right w:type="dxa" w:w="120"/>
            </w:tcMar>
            <w:vAlign w:val="center"/>
          </w:tcPr>
          <w:p>
            <w:pPr>
              <w:spacing w:after="0"/>
            </w:pPr>
            <w:r>
              <w:rPr>
                <w:rFonts w:ascii="Aptos" w:cs="Aptos" w:eastAsia="Aptos" w:hAnsi="Aptos"/>
                <w:b/>
                <w:bCs/>
                <w:color w:val="FFFFFF"/>
                <w:sz w:val="19"/>
                <w:szCs w:val="19"/>
              </w:rPr>
              <w:t xml:space="preserve">Focus</w:t>
            </w:r>
          </w:p>
        </w:tc>
        <w:tc>
          <w:tcPr>
            <w:tcW w:type="dxa" w:w="5756"/>
            <w:shd w:fill="17324D" w:val="clear"/>
            <w:tcMar>
              <w:top w:type="dxa" w:w="90"/>
              <w:left w:type="dxa" w:w="120"/>
              <w:bottom w:type="dxa" w:w="90"/>
              <w:right w:type="dxa" w:w="120"/>
            </w:tcMar>
            <w:vAlign w:val="center"/>
          </w:tcPr>
          <w:p>
            <w:pPr>
              <w:spacing w:after="0"/>
            </w:pPr>
            <w:r>
              <w:rPr>
                <w:rFonts w:ascii="Aptos" w:cs="Aptos" w:eastAsia="Aptos" w:hAnsi="Aptos"/>
                <w:b/>
                <w:bCs/>
                <w:color w:val="FFFFFF"/>
                <w:sz w:val="19"/>
                <w:szCs w:val="19"/>
              </w:rPr>
              <w:t xml:space="preserve">Expected checkpoint</w:t>
            </w:r>
          </w:p>
        </w:tc>
      </w:tr>
      <w:tr>
        <w:trPr>
          <w:cantSplit/>
        </w:trPr>
        <w:tc>
          <w:tcPr>
            <w:tcW w:type="dxa" w:w="150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1</w:t>
            </w:r>
          </w:p>
        </w:tc>
        <w:tc>
          <w:tcPr>
            <w:tcW w:type="dxa" w:w="285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Confirm one workflow and define the feature boundary.</w:t>
            </w:r>
          </w:p>
        </w:tc>
        <w:tc>
          <w:tcPr>
            <w:tcW w:type="dxa" w:w="5756"/>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A concise brief with users, desired outcome, acceptance checks, and explicit exclusions.</w:t>
            </w:r>
          </w:p>
        </w:tc>
      </w:tr>
      <w:tr>
        <w:trPr>
          <w:cantSplit/>
        </w:trPr>
        <w:tc>
          <w:tcPr>
            <w:tcW w:type="dxa" w:w="150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2</w:t>
            </w:r>
          </w:p>
        </w:tc>
        <w:tc>
          <w:tcPr>
            <w:tcW w:type="dxa" w:w="285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Map the user flow, basic data needs, and interface.</w:t>
            </w:r>
          </w:p>
        </w:tc>
        <w:tc>
          <w:tcPr>
            <w:tcW w:type="dxa" w:w="5756"/>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A simple sketch or plan that is small enough for the remaining sessions.</w:t>
            </w:r>
          </w:p>
        </w:tc>
      </w:tr>
      <w:tr>
        <w:trPr>
          <w:cantSplit/>
        </w:trPr>
        <w:tc>
          <w:tcPr>
            <w:tcW w:type="dxa" w:w="150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3</w:t>
            </w:r>
          </w:p>
        </w:tc>
        <w:tc>
          <w:tcPr>
            <w:tcW w:type="dxa" w:w="285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Build the first interface for the agreed workflow.</w:t>
            </w:r>
          </w:p>
        </w:tc>
        <w:tc>
          <w:tcPr>
            <w:tcW w:type="dxa" w:w="5756"/>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A working front-end slice using fictional or anonymized data.</w:t>
            </w:r>
          </w:p>
        </w:tc>
      </w:tr>
      <w:tr>
        <w:trPr>
          <w:cantSplit/>
        </w:trPr>
        <w:tc>
          <w:tcPr>
            <w:tcW w:type="dxa" w:w="150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4</w:t>
            </w:r>
          </w:p>
        </w:tc>
        <w:tc>
          <w:tcPr>
            <w:tcW w:type="dxa" w:w="285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Connect the interface to application logic or an API, as appropriate to the selected scope.</w:t>
            </w:r>
          </w:p>
        </w:tc>
        <w:tc>
          <w:tcPr>
            <w:tcW w:type="dxa" w:w="5756"/>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A demonstrated interaction across the relevant parts of the application.</w:t>
            </w:r>
          </w:p>
        </w:tc>
      </w:tr>
      <w:tr>
        <w:trPr>
          <w:cantSplit/>
        </w:trPr>
        <w:tc>
          <w:tcPr>
            <w:tcW w:type="dxa" w:w="150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5</w:t>
            </w:r>
          </w:p>
        </w:tc>
        <w:tc>
          <w:tcPr>
            <w:tcW w:type="dxa" w:w="285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Add simple data storage or a suitable mock, plus validation.</w:t>
            </w:r>
          </w:p>
        </w:tc>
        <w:tc>
          <w:tcPr>
            <w:tcW w:type="dxa" w:w="5756"/>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The agreed data can be handled in the demo without using real school records.</w:t>
            </w:r>
          </w:p>
        </w:tc>
      </w:tr>
      <w:tr>
        <w:trPr>
          <w:cantSplit/>
        </w:trPr>
        <w:tc>
          <w:tcPr>
            <w:tcW w:type="dxa" w:w="150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6</w:t>
            </w:r>
          </w:p>
        </w:tc>
        <w:tc>
          <w:tcPr>
            <w:tcW w:type="dxa" w:w="285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Test, debug, and improve the feature; inspect AI-generated code and verify its behaviour.</w:t>
            </w:r>
          </w:p>
        </w:tc>
        <w:tc>
          <w:tcPr>
            <w:tcW w:type="dxa" w:w="5756"/>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At least one relevant test or repeatable verification step; learner explains what was accepted, changed, or rejected.</w:t>
            </w:r>
          </w:p>
        </w:tc>
      </w:tr>
      <w:tr>
        <w:trPr>
          <w:cantSplit/>
        </w:trPr>
        <w:tc>
          <w:tcPr>
            <w:tcW w:type="dxa" w:w="150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7</w:t>
            </w:r>
          </w:p>
        </w:tc>
        <w:tc>
          <w:tcPr>
            <w:tcW w:type="dxa" w:w="2850"/>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Run the application in a suitable demo or staging environment if the scope and access allow.</w:t>
            </w:r>
          </w:p>
        </w:tc>
        <w:tc>
          <w:tcPr>
            <w:tcW w:type="dxa" w:w="5756"/>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A demo-ready version and a list of known limitations.</w:t>
            </w:r>
          </w:p>
        </w:tc>
      </w:tr>
      <w:tr>
        <w:trPr>
          <w:cantSplit/>
        </w:trPr>
        <w:tc>
          <w:tcPr>
            <w:tcW w:type="dxa" w:w="150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8</w:t>
            </w:r>
          </w:p>
        </w:tc>
        <w:tc>
          <w:tcPr>
            <w:tcW w:type="dxa" w:w="2850"/>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Demonstrate the feature, reflect on the learning, and plan the next step.</w:t>
            </w:r>
          </w:p>
        </w:tc>
        <w:tc>
          <w:tcPr>
            <w:tcW w:type="dxa" w:w="5756"/>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A learner-led walkthrough and a production-readiness gap list or next-phase recommendation.</w:t>
            </w:r>
          </w:p>
        </w:tc>
      </w:tr>
    </w:tbl>
    <w:p>
      <w:pPr>
        <w:pStyle w:val="Heading1"/>
        <w:keepNext/>
        <w:spacing w:after="100" w:before="280"/>
      </w:pPr>
      <w:r>
        <w:rPr>
          <w:rFonts w:ascii="Aptos" w:cs="Aptos" w:eastAsia="Aptos" w:hAnsi="Aptos"/>
          <w:b/>
          <w:bCs/>
          <w:color w:val="17324D"/>
          <w:sz w:val="29"/>
          <w:szCs w:val="29"/>
        </w:rPr>
        <w:t xml:space="preserve">Definition of completion</w:t>
      </w:r>
    </w:p>
    <w:p>
      <w:pPr>
        <w:spacing w:after="120" w:line="276"/>
      </w:pPr>
      <w:r>
        <w:rPr>
          <w:rFonts w:ascii="Aptos" w:cs="Aptos" w:eastAsia="Aptos" w:hAnsi="Aptos"/>
          <w:color w:val="253746"/>
          <w:sz w:val="21"/>
          <w:szCs w:val="21"/>
        </w:rPr>
        <w:t xml:space="preserve">The proposed course endpoint is a small, working, non-production demonstration of one school-related workflow, together with evidence that the learner understands how it works and what would still be required before real operational use. The aim is to demonstrate learning—not to represent the result as an enterprise-ready school system.</w:t>
      </w:r>
    </w:p>
    <w:p>
      <w:pPr>
        <w:pStyle w:val="ListParagraph"/>
        <w:numPr>
          <w:ilvl w:val="0"/>
          <w:numId w:val="2"/>
        </w:numPr>
        <w:spacing w:after="70" w:line="264"/>
      </w:pPr>
      <w:r>
        <w:rPr>
          <w:rFonts w:ascii="Aptos" w:cs="Aptos" w:eastAsia="Aptos" w:hAnsi="Aptos"/>
          <w:color w:val="253746"/>
          <w:sz w:val="21"/>
          <w:szCs w:val="21"/>
        </w:rPr>
        <w:t xml:space="preserve">The learner can explain the main parts of the selected application and how information moves through them.</w:t>
      </w:r>
    </w:p>
    <w:p>
      <w:pPr>
        <w:pStyle w:val="ListParagraph"/>
        <w:numPr>
          <w:ilvl w:val="0"/>
          <w:numId w:val="2"/>
        </w:numPr>
        <w:spacing w:after="70" w:line="264"/>
      </w:pPr>
      <w:r>
        <w:rPr>
          <w:rFonts w:ascii="Aptos" w:cs="Aptos" w:eastAsia="Aptos" w:hAnsi="Aptos"/>
          <w:color w:val="253746"/>
          <w:sz w:val="21"/>
          <w:szCs w:val="21"/>
        </w:rPr>
        <w:t xml:space="preserve">The learner can run the project, make a small change, and use the agreed version-control workflow.</w:t>
      </w:r>
    </w:p>
    <w:p>
      <w:pPr>
        <w:pStyle w:val="ListParagraph"/>
        <w:numPr>
          <w:ilvl w:val="0"/>
          <w:numId w:val="2"/>
        </w:numPr>
        <w:spacing w:after="70" w:line="264"/>
      </w:pPr>
      <w:r>
        <w:rPr>
          <w:rFonts w:ascii="Aptos" w:cs="Aptos" w:eastAsia="Aptos" w:hAnsi="Aptos"/>
          <w:color w:val="253746"/>
          <w:sz w:val="21"/>
          <w:szCs w:val="21"/>
        </w:rPr>
        <w:t xml:space="preserve">The learner can use an AI assistant to support a task, then inspect, test, and revise the output rather than relying on it uncritically.</w:t>
      </w:r>
    </w:p>
    <w:p>
      <w:pPr>
        <w:pStyle w:val="ListParagraph"/>
        <w:numPr>
          <w:ilvl w:val="0"/>
          <w:numId w:val="2"/>
        </w:numPr>
        <w:spacing w:after="70" w:line="264"/>
      </w:pPr>
      <w:r>
        <w:rPr>
          <w:rFonts w:ascii="Aptos" w:cs="Aptos" w:eastAsia="Aptos" w:hAnsi="Aptos"/>
          <w:color w:val="253746"/>
          <w:sz w:val="21"/>
          <w:szCs w:val="21"/>
        </w:rPr>
        <w:t xml:space="preserve">The agreed feature can be demonstrated with fictional or anonymized data.</w:t>
      </w:r>
    </w:p>
    <w:p>
      <w:pPr>
        <w:pStyle w:val="ListParagraph"/>
        <w:numPr>
          <w:ilvl w:val="0"/>
          <w:numId w:val="2"/>
        </w:numPr>
        <w:spacing w:after="70" w:line="264"/>
      </w:pPr>
      <w:r>
        <w:rPr>
          <w:rFonts w:ascii="Aptos" w:cs="Aptos" w:eastAsia="Aptos" w:hAnsi="Aptos"/>
          <w:color w:val="253746"/>
          <w:sz w:val="21"/>
          <w:szCs w:val="21"/>
        </w:rPr>
        <w:t xml:space="preserve">The learner can describe important remaining work and risks before any production use.</w:t>
      </w:r>
    </w:p>
    <w:p>
      <w:pPr>
        <w:pStyle w:val="Heading1"/>
        <w:keepNext/>
        <w:spacing w:after="100" w:before="280"/>
      </w:pPr>
      <w:r>
        <w:rPr>
          <w:rFonts w:ascii="Aptos" w:cs="Aptos" w:eastAsia="Aptos" w:hAnsi="Aptos"/>
          <w:b/>
          <w:bCs/>
          <w:color w:val="17324D"/>
          <w:sz w:val="29"/>
          <w:szCs w:val="29"/>
        </w:rPr>
        <w:t xml:space="preserve">Scope and safeguards</w:t>
      </w:r>
    </w:p>
    <w:p>
      <w:pPr>
        <w:pStyle w:val="ListParagraph"/>
        <w:numPr>
          <w:ilvl w:val="0"/>
          <w:numId w:val="2"/>
        </w:numPr>
        <w:spacing w:after="70" w:line="264"/>
      </w:pPr>
      <w:r>
        <w:rPr>
          <w:rFonts w:ascii="Aptos" w:cs="Aptos" w:eastAsia="Aptos" w:hAnsi="Aptos"/>
          <w:color w:val="253746"/>
          <w:sz w:val="21"/>
          <w:szCs w:val="21"/>
        </w:rPr>
        <w:t xml:space="preserve">The intended application, learner’s proficiency, existing school systems, and technology choices are not yet confirmed. Final content, stack, calendar, and project scope will be agreed after profiling.</w:t>
      </w:r>
    </w:p>
    <w:p>
      <w:pPr>
        <w:pStyle w:val="ListParagraph"/>
        <w:numPr>
          <w:ilvl w:val="0"/>
          <w:numId w:val="2"/>
        </w:numPr>
        <w:spacing w:after="70" w:line="264"/>
      </w:pPr>
      <w:r>
        <w:rPr>
          <w:rFonts w:ascii="Aptos" w:cs="Aptos" w:eastAsia="Aptos" w:hAnsi="Aptos"/>
          <w:color w:val="253746"/>
          <w:sz w:val="21"/>
          <w:szCs w:val="21"/>
        </w:rPr>
        <w:t xml:space="preserve">Choose one bounded vertical slice—a single end-to-end workflow—not a complete student, parent, finance, or administration platform.</w:t>
      </w:r>
    </w:p>
    <w:p>
      <w:pPr>
        <w:pStyle w:val="ListParagraph"/>
        <w:numPr>
          <w:ilvl w:val="0"/>
          <w:numId w:val="2"/>
        </w:numPr>
        <w:spacing w:after="70" w:line="264"/>
      </w:pPr>
      <w:r>
        <w:rPr>
          <w:rFonts w:ascii="Aptos" w:cs="Aptos" w:eastAsia="Aptos" w:hAnsi="Aptos"/>
          <w:color w:val="253746"/>
          <w:sz w:val="21"/>
          <w:szCs w:val="21"/>
        </w:rPr>
        <w:t xml:space="preserve">The capstone is a learning prototype or demo. Production deployment, real-data migration, full integrations, ongoing support, and formal security or compliance reviews are outside this proposed core unless separately agreed.</w:t>
      </w:r>
    </w:p>
    <w:p>
      <w:pPr>
        <w:pStyle w:val="ListParagraph"/>
        <w:numPr>
          <w:ilvl w:val="0"/>
          <w:numId w:val="2"/>
        </w:numPr>
        <w:spacing w:after="70" w:line="264"/>
      </w:pPr>
      <w:r>
        <w:rPr>
          <w:rFonts w:ascii="Aptos" w:cs="Aptos" w:eastAsia="Aptos" w:hAnsi="Aptos"/>
          <w:color w:val="253746"/>
          <w:sz w:val="21"/>
          <w:szCs w:val="21"/>
        </w:rPr>
        <w:t xml:space="preserve">Do not place confidential school information, credentials, or identifiable student/staff data into an AI tool unless the school has explicitly approved that tool and its use for that data. Use fictional or anonymized data for training.</w:t>
      </w:r>
    </w:p>
    <w:p>
      <w:pPr>
        <w:pStyle w:val="ListParagraph"/>
        <w:numPr>
          <w:ilvl w:val="0"/>
          <w:numId w:val="2"/>
        </w:numPr>
        <w:spacing w:after="70" w:line="264"/>
      </w:pPr>
      <w:r>
        <w:rPr>
          <w:rFonts w:ascii="Aptos" w:cs="Aptos" w:eastAsia="Aptos" w:hAnsi="Aptos"/>
          <w:color w:val="253746"/>
          <w:sz w:val="21"/>
          <w:szCs w:val="21"/>
        </w:rPr>
        <w:t xml:space="preserve">Use AI tools and hosting only after checking applicable school policy, access requirements, licensing, and data-handling constraints.</w:t>
      </w:r>
    </w:p>
    <w:p>
      <w:pPr>
        <w:pStyle w:val="Heading1"/>
        <w:keepNext/>
        <w:spacing w:after="100" w:before="280"/>
      </w:pPr>
      <w:r>
        <w:rPr>
          <w:rFonts w:ascii="Aptos" w:cs="Aptos" w:eastAsia="Aptos" w:hAnsi="Aptos"/>
          <w:b/>
          <w:bCs/>
          <w:color w:val="17324D"/>
          <w:sz w:val="29"/>
          <w:szCs w:val="29"/>
        </w:rPr>
        <w:t xml:space="preserve">Checkpoint and adjustment rules</w:t>
      </w:r>
    </w:p>
    <w:tbl>
      <w:tblPr>
        <w:tblW w:type="dxa" w:w="10106"/>
        <w:tblBorders>
          <w:top w:val="single" w:color="D6E1E7" w:sz="3"/>
          <w:left w:val="single" w:color="D6E1E7" w:sz="3"/>
          <w:bottom w:val="single" w:color="D6E1E7" w:sz="3"/>
          <w:right w:val="single" w:color="D6E1E7" w:sz="3"/>
          <w:insideH w:val="single" w:color="D6E1E7" w:sz="3"/>
          <w:insideV w:val="single" w:color="D6E1E7" w:sz="3"/>
        </w:tblBorders>
      </w:tblPr>
      <w:tblGrid>
        <w:gridCol w:w="5053"/>
        <w:gridCol w:w="5053"/>
      </w:tblGrid>
      <w:tr>
        <w:trPr>
          <w:cantSplit/>
        </w:trPr>
        <w:tc>
          <w:tcPr>
            <w:tcW w:type="dxa" w:w="5053"/>
            <w:shd w:fill="17324D" w:val="clear"/>
            <w:tcMar>
              <w:top w:type="dxa" w:w="90"/>
              <w:left w:type="dxa" w:w="120"/>
              <w:bottom w:type="dxa" w:w="90"/>
              <w:right w:type="dxa" w:w="120"/>
            </w:tcMar>
            <w:vAlign w:val="center"/>
          </w:tcPr>
          <w:p>
            <w:pPr>
              <w:spacing w:after="0"/>
            </w:pPr>
            <w:r>
              <w:rPr>
                <w:rFonts w:ascii="Aptos" w:cs="Aptos" w:eastAsia="Aptos" w:hAnsi="Aptos"/>
                <w:b/>
                <w:bCs/>
                <w:color w:val="FFFFFF"/>
                <w:sz w:val="19"/>
                <w:szCs w:val="19"/>
              </w:rPr>
              <w:t xml:space="preserve">At the end of foundations, check…</w:t>
            </w:r>
          </w:p>
        </w:tc>
        <w:tc>
          <w:tcPr>
            <w:tcW w:type="dxa" w:w="5053"/>
            <w:shd w:fill="17324D" w:val="clear"/>
            <w:tcMar>
              <w:top w:type="dxa" w:w="90"/>
              <w:left w:type="dxa" w:w="120"/>
              <w:bottom w:type="dxa" w:w="90"/>
              <w:right w:type="dxa" w:w="120"/>
            </w:tcMar>
            <w:vAlign w:val="center"/>
          </w:tcPr>
          <w:p>
            <w:pPr>
              <w:spacing w:after="0"/>
            </w:pPr>
            <w:r>
              <w:rPr>
                <w:rFonts w:ascii="Aptos" w:cs="Aptos" w:eastAsia="Aptos" w:hAnsi="Aptos"/>
                <w:b/>
                <w:bCs/>
                <w:color w:val="FFFFFF"/>
                <w:sz w:val="19"/>
                <w:szCs w:val="19"/>
              </w:rPr>
              <w:t xml:space="preserve">Then…</w:t>
            </w:r>
          </w:p>
        </w:tc>
      </w:tr>
      <w:tr>
        <w:trPr>
          <w:cantSplit/>
        </w:trPr>
        <w:tc>
          <w:tcPr>
            <w:tcW w:type="dxa" w:w="5053"/>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Is the learner ready to work independently between online sessions?</w:t>
            </w:r>
          </w:p>
        </w:tc>
        <w:tc>
          <w:tcPr>
            <w:tcW w:type="dxa" w:w="5053"/>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If not, add the optional fifth on-site session or targeted practice before the build.</w:t>
            </w:r>
          </w:p>
        </w:tc>
      </w:tr>
      <w:tr>
        <w:trPr>
          <w:cantSplit/>
        </w:trPr>
        <w:tc>
          <w:tcPr>
            <w:tcW w:type="dxa" w:w="5053"/>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Is there one school workflow small enough for the remaining sessions?</w:t>
            </w:r>
          </w:p>
        </w:tc>
        <w:tc>
          <w:tcPr>
            <w:tcW w:type="dxa" w:w="5053"/>
            <w:shd w:fill="F4F7F9" w:val="clear"/>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If not, narrow the feature to one user journey rather than extending the course without a boundary.</w:t>
            </w:r>
          </w:p>
        </w:tc>
      </w:tr>
      <w:tr>
        <w:trPr>
          <w:cantSplit/>
        </w:trPr>
        <w:tc>
          <w:tcPr>
            <w:tcW w:type="dxa" w:w="5053"/>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Are the required tools, data, and environments appropriate for training?</w:t>
            </w:r>
          </w:p>
        </w:tc>
        <w:tc>
          <w:tcPr>
            <w:tcW w:type="dxa" w:w="5053"/>
            <w:tcMar>
              <w:top w:type="dxa" w:w="90"/>
              <w:left w:type="dxa" w:w="120"/>
              <w:bottom w:type="dxa" w:w="90"/>
              <w:right w:type="dxa" w:w="120"/>
            </w:tcMar>
            <w:vAlign w:val="center"/>
          </w:tcPr>
          <w:p>
            <w:pPr>
              <w:spacing w:after="50" w:line="252"/>
            </w:pPr>
            <w:r>
              <w:rPr>
                <w:rFonts w:ascii="Aptos" w:cs="Aptos" w:eastAsia="Aptos" w:hAnsi="Aptos"/>
                <w:color w:val="253746"/>
                <w:sz w:val="19"/>
                <w:szCs w:val="19"/>
              </w:rPr>
              <w:t xml:space="preserve">If not, use safe mock data and a suitable demo setup; defer production decisions.</w:t>
            </w:r>
          </w:p>
        </w:tc>
      </w:tr>
    </w:tbl>
    <w:p>
      <w:pPr>
        <w:pStyle w:val="Heading1"/>
        <w:keepNext/>
        <w:spacing w:after="100" w:before="280"/>
      </w:pPr>
      <w:r>
        <w:rPr>
          <w:rFonts w:ascii="Aptos" w:cs="Aptos" w:eastAsia="Aptos" w:hAnsi="Aptos"/>
          <w:b/>
          <w:bCs/>
          <w:color w:val="17324D"/>
          <w:sz w:val="29"/>
          <w:szCs w:val="29"/>
        </w:rPr>
        <w:t xml:space="preserve">Proposed next step</w:t>
      </w:r>
    </w:p>
    <w:p>
      <w:pPr>
        <w:spacing w:after="120" w:line="276"/>
      </w:pPr>
      <w:r>
        <w:rPr>
          <w:rFonts w:ascii="Aptos" w:cs="Aptos" w:eastAsia="Aptos" w:hAnsi="Aptos"/>
          <w:color w:val="253746"/>
          <w:sz w:val="21"/>
          <w:szCs w:val="21"/>
        </w:rPr>
        <w:t xml:space="preserve">Hold the learner and project profile meeting before confirming the final syllabus or technology stack. Use that meeting to understand prior experience, learning goals, the school’s current systems, one candidate workflow, and practical constraints. Afterward, confirm the scope, calendar, selected tools, and any changes to the session count with the client contact.</w:t>
      </w:r>
    </w:p>
    <w:p>
      <w:pPr>
        <w:spacing w:after="60" w:before="100"/>
      </w:pPr>
      <w:r>
        <w:rPr>
          <w:rFonts w:ascii="Aptos" w:cs="Aptos" w:eastAsia="Aptos" w:hAnsi="Aptos"/>
          <w:color w:val="253746"/>
          <w:sz w:val="21"/>
          <w:szCs w:val="21"/>
        </w:rPr>
        <w:t xml:space="preserve">This is a discussion draft. The final program should be agreed with the learner and the school after the profile meeting.</w:t>
      </w:r>
    </w:p>
    <w:sectPr>
      <w:headerReference w:type="default" r:id="rId6"/>
      <w:footerReference w:type="default" r:id="rId7"/>
      <w:pgSz w:w="11906" w:h="16838" w:orient="portrait"/>
      <w:pgMar w:top="840" w:right="900" w:bottom="84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1E7" w:sz="3" w:space="5"/>
      </w:pBdr>
      <w:jc w:val="center"/>
    </w:pPr>
    <w:r>
      <w:rPr>
        <w:rFonts w:ascii="Aptos" w:cs="Aptos" w:eastAsia="Aptos" w:hAnsi="Aptos"/>
        <w:color w:val="647785"/>
        <w:sz w:val="16"/>
        <w:szCs w:val="16"/>
      </w:rPr>
      <w:t xml:space="preserve">Draft for discussion · October 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6B87" w:sz="6" w:space="5"/>
      </w:pBdr>
      <w:jc w:val="right"/>
    </w:pPr>
    <w:r>
      <w:rPr>
        <w:rFonts w:ascii="Aptos" w:cs="Aptos" w:eastAsia="Aptos" w:hAnsi="Aptos"/>
        <w:b/>
        <w:bCs/>
        <w:color w:val="176B87"/>
        <w:sz w:val="16"/>
        <w:szCs w:val="16"/>
      </w:rPr>
      <w:t xml:space="preserve">CIIT  |  PROPOSED ONE-TO-ONE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53746"/>
        <w:sz w:val="21"/>
        <w:szCs w:val="21"/>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ptos Display" w:cs="Aptos Display" w:eastAsia="Aptos Display" w:hAnsi="Aptos Display"/>
      <w:b/>
      <w:bCs/>
      <w:color w:val="17324D"/>
      <w:sz w:val="29"/>
      <w:szCs w:val="29"/>
    </w:rPr>
  </w:style>
  <w:style w:type="paragraph" w:styleId="Heading2">
    <w:name w:val="Heading 2"/>
    <w:basedOn w:val="Normal"/>
    <w:next w:val="Normal"/>
    <w:qFormat/>
    <w:pPr>
      <w:spacing w:after="80" w:before="180"/>
      <w:outlineLvl w:val="1"/>
    </w:pPr>
    <w:rPr>
      <w:rFonts w:ascii="Aptos Display" w:cs="Aptos Display" w:eastAsia="Aptos Display" w:hAnsi="Aptos Display"/>
      <w:b/>
      <w:bCs/>
      <w:color w:val="17324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Web Development Training — Proposed Structure</dc:title>
  <dc:subject>Blended one-to-one web development training structure</dc:subject>
  <dc:creator>CIIT Training Proposal</dc:creator>
  <dc:description>Draft proposal for discussion; subject to learner profiling and project scoping.</dc:description>
  <cp:lastModifiedBy>Un-named</cp:lastModifiedBy>
  <cp:revision>1</cp:revision>
  <dcterms:created xsi:type="dcterms:W3CDTF">2026-10-07T06:32:39.563Z</dcterms:created>
  <dcterms:modified xsi:type="dcterms:W3CDTF">2026-10-07T06:32:39.564Z</dcterms:modified>
</cp:coreProperties>
</file>

<file path=docProps/custom.xml><?xml version="1.0" encoding="utf-8"?>
<Properties xmlns="http://schemas.openxmlformats.org/officeDocument/2006/custom-properties" xmlns:vt="http://schemas.openxmlformats.org/officeDocument/2006/docPropsVTypes"/>
</file>