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D5A33" w14:textId="5F59F0E3" w:rsidR="00D46147" w:rsidRPr="00706CC9" w:rsidRDefault="00706CC9" w:rsidP="0019423E">
      <w:pPr>
        <w:jc w:val="center"/>
        <w:rPr>
          <w:rFonts w:ascii="Times New Roman" w:hAnsi="Times New Roman" w:cs="Times New Roman"/>
          <w:sz w:val="24"/>
          <w:szCs w:val="24"/>
        </w:rPr>
      </w:pPr>
      <w:r w:rsidRPr="00706CC9">
        <w:rPr>
          <w:noProof/>
        </w:rPr>
        <w:drawing>
          <wp:anchor distT="0" distB="0" distL="114300" distR="114300" simplePos="0" relativeHeight="251660288" behindDoc="0" locked="0" layoutInCell="1" allowOverlap="1" wp14:anchorId="12E24E74" wp14:editId="5AADFC43">
            <wp:simplePos x="0" y="0"/>
            <wp:positionH relativeFrom="column">
              <wp:posOffset>3181350</wp:posOffset>
            </wp:positionH>
            <wp:positionV relativeFrom="paragraph">
              <wp:posOffset>381000</wp:posOffset>
            </wp:positionV>
            <wp:extent cx="1257300" cy="1252408"/>
            <wp:effectExtent l="0" t="0" r="0" b="0"/>
            <wp:wrapTopAndBottom/>
            <wp:docPr id="7" name="Picture 7" descr="Image result for blue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lue check 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252408"/>
                    </a:xfrm>
                    <a:prstGeom prst="rect">
                      <a:avLst/>
                    </a:prstGeom>
                    <a:noFill/>
                    <a:ln>
                      <a:noFill/>
                    </a:ln>
                  </pic:spPr>
                </pic:pic>
              </a:graphicData>
            </a:graphic>
          </wp:anchor>
        </w:drawing>
      </w:r>
      <w:r w:rsidRPr="00706CC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0D22A7" wp14:editId="479F76D9">
                <wp:simplePos x="0" y="0"/>
                <wp:positionH relativeFrom="column">
                  <wp:posOffset>1457325</wp:posOffset>
                </wp:positionH>
                <wp:positionV relativeFrom="paragraph">
                  <wp:posOffset>352425</wp:posOffset>
                </wp:positionV>
                <wp:extent cx="1219200" cy="1190625"/>
                <wp:effectExtent l="0" t="0" r="0" b="9525"/>
                <wp:wrapTopAndBottom/>
                <wp:docPr id="3" name="&quot;Not Allowed&quot; Symbol 3"/>
                <wp:cNvGraphicFramePr/>
                <a:graphic xmlns:a="http://schemas.openxmlformats.org/drawingml/2006/main">
                  <a:graphicData uri="http://schemas.microsoft.com/office/word/2010/wordprocessingShape">
                    <wps:wsp>
                      <wps:cNvSpPr/>
                      <wps:spPr>
                        <a:xfrm>
                          <a:off x="0" y="0"/>
                          <a:ext cx="1219200" cy="1190625"/>
                        </a:xfrm>
                        <a:prstGeom prst="noSmoking">
                          <a:avLst/>
                        </a:prstGeom>
                        <a:solidFill>
                          <a:srgbClr val="4279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60CFB2"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3" o:spid="_x0000_s1026" type="#_x0000_t57" style="position:absolute;margin-left:114.75pt;margin-top:27.75pt;width:96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" adj="3955" fillcolor="#4279da" stroked="f" strokeweight="1pt">
                <w10:wrap type="topAndBottom"/>
              </v:shape>
            </w:pict>
          </mc:Fallback>
        </mc:AlternateContent>
      </w:r>
      <w:r w:rsidRPr="00706CC9">
        <w:rPr>
          <w:rFonts w:ascii="Times New Roman" w:hAnsi="Times New Roman" w:cs="Times New Roman"/>
          <w:b/>
          <w:sz w:val="36"/>
          <w:szCs w:val="36"/>
        </w:rPr>
        <w:t>End User Roles and Permissions</w:t>
      </w:r>
      <w:bookmarkStart w:id="0" w:name="_GoBack"/>
      <w:bookmarkEnd w:id="0"/>
    </w:p>
    <w:p w14:paraId="1AD37141" w14:textId="3CAC788B" w:rsidR="0019423E" w:rsidRPr="0019423E" w:rsidRDefault="0019423E" w:rsidP="00706CC9">
      <w:pPr>
        <w:rPr>
          <w:rFonts w:ascii="Times New Roman" w:hAnsi="Times New Roman" w:cs="Times New Roman"/>
          <w:sz w:val="24"/>
          <w:szCs w:val="24"/>
        </w:rPr>
      </w:pPr>
    </w:p>
    <w:p w14:paraId="3F995399" w14:textId="031BB994" w:rsidR="0019423E" w:rsidRDefault="00706CC9" w:rsidP="00706CC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there will be four main users of this new </w:t>
      </w:r>
      <w:r w:rsidR="00285792">
        <w:rPr>
          <w:rFonts w:ascii="Times New Roman" w:hAnsi="Times New Roman" w:cs="Times New Roman"/>
          <w:sz w:val="24"/>
          <w:szCs w:val="24"/>
        </w:rPr>
        <w:t xml:space="preserve">automated </w:t>
      </w:r>
      <w:r>
        <w:rPr>
          <w:rFonts w:ascii="Times New Roman" w:hAnsi="Times New Roman" w:cs="Times New Roman"/>
          <w:sz w:val="24"/>
          <w:szCs w:val="24"/>
        </w:rPr>
        <w:t xml:space="preserve">MVR </w:t>
      </w:r>
      <w:r w:rsidR="00285792">
        <w:rPr>
          <w:rFonts w:ascii="Times New Roman" w:hAnsi="Times New Roman" w:cs="Times New Roman"/>
          <w:sz w:val="24"/>
          <w:szCs w:val="24"/>
        </w:rPr>
        <w:t xml:space="preserve">system, careful thought must be put into the security of both the front end and the back end of the system. Particularly with user roles and viewing permissions. Aside from a standardized login and password system, as well as built in administrative database controls, user roles and viewing </w:t>
      </w:r>
      <w:r w:rsidR="00CA0681">
        <w:rPr>
          <w:rFonts w:ascii="Times New Roman" w:hAnsi="Times New Roman" w:cs="Times New Roman"/>
          <w:sz w:val="24"/>
          <w:szCs w:val="24"/>
        </w:rPr>
        <w:t>restrictions on certain sets of data are crucial in making sure that the system is not allowed to compromise the individuals, or the companies, information. In order to achieve this level of security we outlined the roles as follows:</w:t>
      </w:r>
    </w:p>
    <w:p w14:paraId="6A8B4B3B" w14:textId="1CA27D9E" w:rsidR="00CA0681" w:rsidRDefault="00CA0681" w:rsidP="00706C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Company Role – </w:t>
      </w:r>
    </w:p>
    <w:p w14:paraId="43994A77" w14:textId="1CF8F59F" w:rsidR="00CA0681" w:rsidRDefault="00CA0681" w:rsidP="00CA0681">
      <w:pPr>
        <w:ind w:left="1440" w:right="720"/>
        <w:rPr>
          <w:rFonts w:ascii="Times New Roman" w:hAnsi="Times New Roman" w:cs="Times New Roman"/>
          <w:sz w:val="24"/>
          <w:szCs w:val="24"/>
        </w:rPr>
      </w:pPr>
      <w:r>
        <w:rPr>
          <w:rFonts w:ascii="Times New Roman" w:hAnsi="Times New Roman" w:cs="Times New Roman"/>
          <w:sz w:val="24"/>
          <w:szCs w:val="24"/>
        </w:rPr>
        <w:t>Companies can submit driver information for review by the system. Any submission that is still pending review can be edited or updated by the company. The company can only</w:t>
      </w:r>
      <w:r w:rsidR="001E7570">
        <w:rPr>
          <w:rFonts w:ascii="Times New Roman" w:hAnsi="Times New Roman" w:cs="Times New Roman"/>
          <w:sz w:val="24"/>
          <w:szCs w:val="24"/>
        </w:rPr>
        <w:t xml:space="preserve"> </w:t>
      </w:r>
      <w:r>
        <w:rPr>
          <w:rFonts w:ascii="Times New Roman" w:hAnsi="Times New Roman" w:cs="Times New Roman"/>
          <w:sz w:val="24"/>
          <w:szCs w:val="24"/>
        </w:rPr>
        <w:t xml:space="preserve">edit, </w:t>
      </w:r>
      <w:r w:rsidR="001E7570">
        <w:rPr>
          <w:rFonts w:ascii="Times New Roman" w:hAnsi="Times New Roman" w:cs="Times New Roman"/>
          <w:sz w:val="24"/>
          <w:szCs w:val="24"/>
        </w:rPr>
        <w:t>view status</w:t>
      </w:r>
      <w:r>
        <w:rPr>
          <w:rFonts w:ascii="Times New Roman" w:hAnsi="Times New Roman" w:cs="Times New Roman"/>
          <w:sz w:val="24"/>
          <w:szCs w:val="24"/>
        </w:rPr>
        <w:t xml:space="preserve">, or </w:t>
      </w:r>
      <w:r w:rsidR="001E7570">
        <w:rPr>
          <w:rFonts w:ascii="Times New Roman" w:hAnsi="Times New Roman" w:cs="Times New Roman"/>
          <w:sz w:val="24"/>
          <w:szCs w:val="24"/>
        </w:rPr>
        <w:t xml:space="preserve">view submission </w:t>
      </w:r>
      <w:r>
        <w:rPr>
          <w:rFonts w:ascii="Times New Roman" w:hAnsi="Times New Roman" w:cs="Times New Roman"/>
          <w:sz w:val="24"/>
          <w:szCs w:val="24"/>
        </w:rPr>
        <w:t xml:space="preserve">information </w:t>
      </w:r>
      <w:r w:rsidR="001E7570">
        <w:rPr>
          <w:rFonts w:ascii="Times New Roman" w:hAnsi="Times New Roman" w:cs="Times New Roman"/>
          <w:sz w:val="24"/>
          <w:szCs w:val="24"/>
        </w:rPr>
        <w:t xml:space="preserve">for </w:t>
      </w:r>
      <w:r>
        <w:rPr>
          <w:rFonts w:ascii="Times New Roman" w:hAnsi="Times New Roman" w:cs="Times New Roman"/>
          <w:sz w:val="24"/>
          <w:szCs w:val="24"/>
        </w:rPr>
        <w:t>their own associated submissions</w:t>
      </w:r>
      <w:r w:rsidR="001E7570">
        <w:rPr>
          <w:rFonts w:ascii="Times New Roman" w:hAnsi="Times New Roman" w:cs="Times New Roman"/>
          <w:sz w:val="24"/>
          <w:szCs w:val="24"/>
        </w:rPr>
        <w:t>. To ensure this, each company login is given a unique company id, and each submission includes the company id for it to be associated with the company. Once a submission has been reviewed and either accepted or rejected by the system it is no longer available to be edited or updated but may still be viewed by the company.</w:t>
      </w:r>
    </w:p>
    <w:p w14:paraId="1DD12E48" w14:textId="6E0DCBCC" w:rsidR="001E7570" w:rsidRDefault="001E7570" w:rsidP="001E7570">
      <w:pPr>
        <w:ind w:left="720" w:right="720"/>
        <w:rPr>
          <w:rFonts w:ascii="Times New Roman" w:hAnsi="Times New Roman" w:cs="Times New Roman"/>
          <w:sz w:val="24"/>
          <w:szCs w:val="24"/>
        </w:rPr>
      </w:pPr>
      <w:r>
        <w:rPr>
          <w:rFonts w:ascii="Times New Roman" w:hAnsi="Times New Roman" w:cs="Times New Roman"/>
          <w:b/>
          <w:sz w:val="24"/>
          <w:szCs w:val="24"/>
        </w:rPr>
        <w:t xml:space="preserve">Broker Role – </w:t>
      </w:r>
    </w:p>
    <w:p w14:paraId="46F82424" w14:textId="6CC6D9A4" w:rsidR="001E7570" w:rsidRDefault="001E7570" w:rsidP="001E7570">
      <w:pPr>
        <w:ind w:left="1440" w:right="720"/>
        <w:rPr>
          <w:rFonts w:ascii="Times New Roman" w:hAnsi="Times New Roman" w:cs="Times New Roman"/>
          <w:sz w:val="24"/>
          <w:szCs w:val="24"/>
        </w:rPr>
      </w:pPr>
      <w:r>
        <w:rPr>
          <w:rFonts w:ascii="Times New Roman" w:hAnsi="Times New Roman" w:cs="Times New Roman"/>
          <w:sz w:val="24"/>
          <w:szCs w:val="24"/>
        </w:rPr>
        <w:t xml:space="preserve">Brokers are only allowed to view pending submissions that are completed. They can view these submissions regardless of company or association. The only information </w:t>
      </w:r>
      <w:r w:rsidR="00663E68">
        <w:rPr>
          <w:rFonts w:ascii="Times New Roman" w:hAnsi="Times New Roman" w:cs="Times New Roman"/>
          <w:sz w:val="24"/>
          <w:szCs w:val="24"/>
        </w:rPr>
        <w:t>from</w:t>
      </w:r>
      <w:r>
        <w:rPr>
          <w:rFonts w:ascii="Times New Roman" w:hAnsi="Times New Roman" w:cs="Times New Roman"/>
          <w:sz w:val="24"/>
          <w:szCs w:val="24"/>
        </w:rPr>
        <w:t xml:space="preserve"> the submissions that they </w:t>
      </w:r>
      <w:proofErr w:type="gramStart"/>
      <w:r>
        <w:rPr>
          <w:rFonts w:ascii="Times New Roman" w:hAnsi="Times New Roman" w:cs="Times New Roman"/>
          <w:sz w:val="24"/>
          <w:szCs w:val="24"/>
        </w:rPr>
        <w:t>are allowed to</w:t>
      </w:r>
      <w:proofErr w:type="gramEnd"/>
      <w:r>
        <w:rPr>
          <w:rFonts w:ascii="Times New Roman" w:hAnsi="Times New Roman" w:cs="Times New Roman"/>
          <w:sz w:val="24"/>
          <w:szCs w:val="24"/>
        </w:rPr>
        <w:t xml:space="preserve"> view </w:t>
      </w:r>
      <w:r w:rsidR="007250FA">
        <w:rPr>
          <w:rFonts w:ascii="Times New Roman" w:hAnsi="Times New Roman" w:cs="Times New Roman"/>
          <w:sz w:val="24"/>
          <w:szCs w:val="24"/>
        </w:rPr>
        <w:t>are the driver’s license information</w:t>
      </w:r>
      <w:r w:rsidR="00A91D63">
        <w:rPr>
          <w:rFonts w:ascii="Times New Roman" w:hAnsi="Times New Roman" w:cs="Times New Roman"/>
          <w:sz w:val="24"/>
          <w:szCs w:val="24"/>
        </w:rPr>
        <w:t xml:space="preserve"> and submission date. Once an MVR is received for the driver the Broker is no longer allowed view the pending submission for that driver.</w:t>
      </w:r>
    </w:p>
    <w:p w14:paraId="4E642F91" w14:textId="2C60528C" w:rsidR="00A91D63" w:rsidRDefault="00A91D63" w:rsidP="00A91D63">
      <w:pPr>
        <w:ind w:left="720" w:right="720"/>
        <w:rPr>
          <w:rFonts w:ascii="Times New Roman" w:hAnsi="Times New Roman" w:cs="Times New Roman"/>
          <w:b/>
          <w:sz w:val="24"/>
          <w:szCs w:val="24"/>
        </w:rPr>
      </w:pPr>
      <w:r>
        <w:rPr>
          <w:rFonts w:ascii="Times New Roman" w:hAnsi="Times New Roman" w:cs="Times New Roman"/>
          <w:b/>
          <w:sz w:val="24"/>
          <w:szCs w:val="24"/>
        </w:rPr>
        <w:t xml:space="preserve">Processor Role – </w:t>
      </w:r>
    </w:p>
    <w:p w14:paraId="59D0E8DE" w14:textId="2B834353" w:rsidR="00A91D63" w:rsidRDefault="00A91D63" w:rsidP="00A91D63">
      <w:pPr>
        <w:ind w:left="1440" w:right="720"/>
        <w:rPr>
          <w:rFonts w:ascii="Times New Roman" w:hAnsi="Times New Roman" w:cs="Times New Roman"/>
          <w:sz w:val="24"/>
          <w:szCs w:val="24"/>
        </w:rPr>
      </w:pPr>
      <w:r>
        <w:rPr>
          <w:rFonts w:ascii="Times New Roman" w:hAnsi="Times New Roman" w:cs="Times New Roman"/>
          <w:sz w:val="24"/>
          <w:szCs w:val="24"/>
        </w:rPr>
        <w:t xml:space="preserve">Processors </w:t>
      </w:r>
      <w:proofErr w:type="gramStart"/>
      <w:r>
        <w:rPr>
          <w:rFonts w:ascii="Times New Roman" w:hAnsi="Times New Roman" w:cs="Times New Roman"/>
          <w:sz w:val="24"/>
          <w:szCs w:val="24"/>
        </w:rPr>
        <w:t>are allowed to</w:t>
      </w:r>
      <w:proofErr w:type="gramEnd"/>
      <w:r>
        <w:rPr>
          <w:rFonts w:ascii="Times New Roman" w:hAnsi="Times New Roman" w:cs="Times New Roman"/>
          <w:sz w:val="24"/>
          <w:szCs w:val="24"/>
        </w:rPr>
        <w:t xml:space="preserve"> view MVR’s from the Broker and any information on them. Based on the information provided by the MVR the processor </w:t>
      </w:r>
      <w:proofErr w:type="gramStart"/>
      <w:r>
        <w:rPr>
          <w:rFonts w:ascii="Times New Roman" w:hAnsi="Times New Roman" w:cs="Times New Roman"/>
          <w:sz w:val="24"/>
          <w:szCs w:val="24"/>
        </w:rPr>
        <w:t>is allowed to</w:t>
      </w:r>
      <w:proofErr w:type="gramEnd"/>
      <w:r>
        <w:rPr>
          <w:rFonts w:ascii="Times New Roman" w:hAnsi="Times New Roman" w:cs="Times New Roman"/>
          <w:sz w:val="24"/>
          <w:szCs w:val="24"/>
        </w:rPr>
        <w:t xml:space="preserve"> flag any violations presented. Whether the MVR is flagged or not the system then assigns the MVR an underwriter id for use later.</w:t>
      </w:r>
    </w:p>
    <w:p w14:paraId="65BA8989" w14:textId="3709171D" w:rsidR="00A91D63" w:rsidRDefault="00E550E7" w:rsidP="00E550E7">
      <w:pPr>
        <w:ind w:left="720" w:right="720"/>
        <w:rPr>
          <w:rFonts w:ascii="Times New Roman" w:hAnsi="Times New Roman" w:cs="Times New Roman"/>
          <w:b/>
          <w:sz w:val="24"/>
          <w:szCs w:val="24"/>
        </w:rPr>
      </w:pPr>
      <w:r>
        <w:rPr>
          <w:rFonts w:ascii="Times New Roman" w:hAnsi="Times New Roman" w:cs="Times New Roman"/>
          <w:b/>
          <w:sz w:val="24"/>
          <w:szCs w:val="24"/>
        </w:rPr>
        <w:lastRenderedPageBreak/>
        <w:t xml:space="preserve">Underwriter Role – </w:t>
      </w:r>
    </w:p>
    <w:p w14:paraId="502A0E40" w14:textId="2C739696" w:rsidR="00E550E7" w:rsidRPr="00E550E7" w:rsidRDefault="00E550E7" w:rsidP="00E550E7">
      <w:pPr>
        <w:ind w:left="1440" w:right="720"/>
        <w:rPr>
          <w:rFonts w:ascii="Times New Roman" w:hAnsi="Times New Roman" w:cs="Times New Roman"/>
          <w:sz w:val="24"/>
          <w:szCs w:val="24"/>
        </w:rPr>
      </w:pPr>
      <w:r>
        <w:rPr>
          <w:rFonts w:ascii="Times New Roman" w:hAnsi="Times New Roman" w:cs="Times New Roman"/>
          <w:sz w:val="24"/>
          <w:szCs w:val="24"/>
        </w:rPr>
        <w:t xml:space="preserve">Underwriters </w:t>
      </w:r>
      <w:proofErr w:type="gramStart"/>
      <w:r>
        <w:rPr>
          <w:rFonts w:ascii="Times New Roman" w:hAnsi="Times New Roman" w:cs="Times New Roman"/>
          <w:sz w:val="24"/>
          <w:szCs w:val="24"/>
        </w:rPr>
        <w:t>are allowed to</w:t>
      </w:r>
      <w:proofErr w:type="gramEnd"/>
      <w:r>
        <w:rPr>
          <w:rFonts w:ascii="Times New Roman" w:hAnsi="Times New Roman" w:cs="Times New Roman"/>
          <w:sz w:val="24"/>
          <w:szCs w:val="24"/>
        </w:rPr>
        <w:t xml:space="preserve"> view all currently flagged MVR’s marked with their underwriter id, as well as whether or not the driver submission is currently pending. If the driver submission is pending, the underwriter </w:t>
      </w:r>
      <w:proofErr w:type="gramStart"/>
      <w:r>
        <w:rPr>
          <w:rFonts w:ascii="Times New Roman" w:hAnsi="Times New Roman" w:cs="Times New Roman"/>
          <w:sz w:val="24"/>
          <w:szCs w:val="24"/>
        </w:rPr>
        <w:t>makes a decision</w:t>
      </w:r>
      <w:proofErr w:type="gramEnd"/>
      <w:r>
        <w:rPr>
          <w:rFonts w:ascii="Times New Roman" w:hAnsi="Times New Roman" w:cs="Times New Roman"/>
          <w:sz w:val="24"/>
          <w:szCs w:val="24"/>
        </w:rPr>
        <w:t xml:space="preserve"> on whether or not to accept or reject the driver as well as what their rate will be if accepted. If the driver submission is not pending, the underwriter determines the action that needs to be applied to the driver’s current rate, should the rate be increased, left alone, or the driver should be dropped.</w:t>
      </w:r>
    </w:p>
    <w:sectPr w:rsidR="00E550E7" w:rsidRPr="00E55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F7281" w14:textId="77777777" w:rsidR="00DF5F09" w:rsidRDefault="00DF5F09" w:rsidP="0019423E">
      <w:pPr>
        <w:spacing w:after="0" w:line="240" w:lineRule="auto"/>
      </w:pPr>
      <w:r>
        <w:separator/>
      </w:r>
    </w:p>
  </w:endnote>
  <w:endnote w:type="continuationSeparator" w:id="0">
    <w:p w14:paraId="12DD604B" w14:textId="77777777" w:rsidR="00DF5F09" w:rsidRDefault="00DF5F09" w:rsidP="00194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B446E" w14:textId="77777777" w:rsidR="00DF5F09" w:rsidRDefault="00DF5F09" w:rsidP="0019423E">
      <w:pPr>
        <w:spacing w:after="0" w:line="240" w:lineRule="auto"/>
      </w:pPr>
      <w:r>
        <w:separator/>
      </w:r>
    </w:p>
  </w:footnote>
  <w:footnote w:type="continuationSeparator" w:id="0">
    <w:p w14:paraId="23B4B94F" w14:textId="77777777" w:rsidR="00DF5F09" w:rsidRDefault="00DF5F09" w:rsidP="00194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3E"/>
    <w:rsid w:val="0019423E"/>
    <w:rsid w:val="001E7570"/>
    <w:rsid w:val="00285792"/>
    <w:rsid w:val="002C081B"/>
    <w:rsid w:val="003415AB"/>
    <w:rsid w:val="00663E68"/>
    <w:rsid w:val="00706CC9"/>
    <w:rsid w:val="007250FA"/>
    <w:rsid w:val="00A91D63"/>
    <w:rsid w:val="00CA0681"/>
    <w:rsid w:val="00DF5F09"/>
    <w:rsid w:val="00E5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E1A7"/>
  <w15:chartTrackingRefBased/>
  <w15:docId w15:val="{2A8D95B8-53C8-48ED-A899-CAA0F22A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23E"/>
  </w:style>
  <w:style w:type="paragraph" w:styleId="Footer">
    <w:name w:val="footer"/>
    <w:basedOn w:val="Normal"/>
    <w:link w:val="FooterChar"/>
    <w:uiPriority w:val="99"/>
    <w:unhideWhenUsed/>
    <w:rsid w:val="00194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3E"/>
  </w:style>
  <w:style w:type="paragraph" w:styleId="BalloonText">
    <w:name w:val="Balloon Text"/>
    <w:basedOn w:val="Normal"/>
    <w:link w:val="BalloonTextChar"/>
    <w:uiPriority w:val="99"/>
    <w:semiHidden/>
    <w:unhideWhenUsed/>
    <w:rsid w:val="00706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C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E6DBF5-402D-440B-BE29-62DA0B742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dc:creator>
  <cp:keywords/>
  <dc:description/>
  <cp:lastModifiedBy>Matthew Young</cp:lastModifiedBy>
  <cp:revision>1</cp:revision>
  <dcterms:created xsi:type="dcterms:W3CDTF">2019-04-14T22:52:00Z</dcterms:created>
  <dcterms:modified xsi:type="dcterms:W3CDTF">2019-04-15T00:56:00Z</dcterms:modified>
</cp:coreProperties>
</file>